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738" w:rsidRDefault="00741330">
      <w:bookmarkStart w:id="0" w:name="_GoBack"/>
      <w:bookmarkEnd w:id="0"/>
      <w:r w:rsidRPr="00741330">
        <w:rPr>
          <w:noProof/>
          <w:lang w:val="en-US"/>
        </w:rPr>
        <w:drawing>
          <wp:inline distT="0" distB="0" distL="0" distR="0">
            <wp:extent cx="8681671" cy="5685692"/>
            <wp:effectExtent l="19050" t="0" r="24179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41330" w:rsidRDefault="00741330" w:rsidP="00741330">
      <w:r w:rsidRPr="00741330">
        <w:t xml:space="preserve">Sources: </w:t>
      </w:r>
      <w:proofErr w:type="spellStart"/>
      <w:r w:rsidRPr="00741330">
        <w:t>DfES</w:t>
      </w:r>
      <w:proofErr w:type="spellEnd"/>
      <w:r w:rsidRPr="00741330">
        <w:t xml:space="preserve">, 2005a, table a; </w:t>
      </w:r>
      <w:proofErr w:type="spellStart"/>
      <w:r w:rsidRPr="00741330">
        <w:t>DfES</w:t>
      </w:r>
      <w:proofErr w:type="spellEnd"/>
      <w:r w:rsidRPr="00741330">
        <w:t xml:space="preserve">, 2006a, tables 7 &amp; 8; </w:t>
      </w:r>
      <w:proofErr w:type="spellStart"/>
      <w:r w:rsidRPr="00741330">
        <w:t>DfE</w:t>
      </w:r>
      <w:proofErr w:type="spellEnd"/>
      <w:r w:rsidRPr="00741330">
        <w:t xml:space="preserve">, 2010a, table 2a; </w:t>
      </w:r>
      <w:proofErr w:type="spellStart"/>
      <w:r w:rsidRPr="00741330">
        <w:t>DfE</w:t>
      </w:r>
      <w:proofErr w:type="spellEnd"/>
      <w:r w:rsidRPr="00741330">
        <w:t xml:space="preserve">, 2013, table 2a; </w:t>
      </w:r>
      <w:proofErr w:type="spellStart"/>
      <w:r w:rsidRPr="00741330">
        <w:t>DfE</w:t>
      </w:r>
      <w:proofErr w:type="spellEnd"/>
      <w:r w:rsidRPr="00741330">
        <w:t xml:space="preserve">, 2014a, table 2a </w:t>
      </w:r>
    </w:p>
    <w:p w:rsidR="00741330" w:rsidRDefault="00741330" w:rsidP="00741330"/>
    <w:p w:rsidR="00741330" w:rsidRDefault="002433C7" w:rsidP="00741330">
      <w:r w:rsidRPr="002433C7">
        <w:rPr>
          <w:noProof/>
          <w:lang w:val="en-US"/>
        </w:rPr>
        <w:drawing>
          <wp:inline distT="0" distB="0" distL="0" distR="0">
            <wp:extent cx="7495442" cy="4525108"/>
            <wp:effectExtent l="19050" t="0" r="10258" b="8792"/>
            <wp:docPr id="4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433C7" w:rsidRPr="002433C7" w:rsidRDefault="002433C7" w:rsidP="002433C7">
      <w:r w:rsidRPr="002433C7">
        <w:t xml:space="preserve">Source: </w:t>
      </w:r>
      <w:proofErr w:type="spellStart"/>
      <w:r w:rsidRPr="002433C7">
        <w:t>DfE</w:t>
      </w:r>
      <w:proofErr w:type="spellEnd"/>
      <w:r w:rsidRPr="002433C7">
        <w:t xml:space="preserve">, 2010a, table 2a. </w:t>
      </w:r>
    </w:p>
    <w:p w:rsidR="00741330" w:rsidRDefault="002433C7" w:rsidP="00741330">
      <w:r>
        <w:br w:type="column"/>
      </w:r>
      <w:r w:rsidRPr="002433C7">
        <w:rPr>
          <w:noProof/>
          <w:lang w:val="en-US"/>
        </w:rPr>
        <w:lastRenderedPageBreak/>
        <w:drawing>
          <wp:inline distT="0" distB="0" distL="0" distR="0">
            <wp:extent cx="7497005" cy="5251938"/>
            <wp:effectExtent l="19050" t="0" r="27745" b="5862"/>
            <wp:docPr id="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433C7" w:rsidRPr="002433C7" w:rsidRDefault="002433C7" w:rsidP="002433C7">
      <w:r w:rsidRPr="002433C7">
        <w:t xml:space="preserve">* </w:t>
      </w:r>
      <w:proofErr w:type="spellStart"/>
      <w:r w:rsidRPr="002433C7">
        <w:rPr>
          <w:b/>
          <w:bCs/>
          <w:i/>
          <w:iCs/>
        </w:rPr>
        <w:t>E.Bacc</w:t>
      </w:r>
      <w:proofErr w:type="spellEnd"/>
      <w:r w:rsidRPr="002433C7">
        <w:rPr>
          <w:b/>
          <w:bCs/>
          <w:i/>
          <w:iCs/>
        </w:rPr>
        <w:t xml:space="preserve"> Penalty </w:t>
      </w:r>
      <w:r w:rsidRPr="002433C7">
        <w:t xml:space="preserve">= the proportion of students successful in the old measure who fail to secure the </w:t>
      </w:r>
      <w:proofErr w:type="spellStart"/>
      <w:r w:rsidRPr="002433C7">
        <w:t>E.Bacc</w:t>
      </w:r>
      <w:proofErr w:type="spellEnd"/>
      <w:r w:rsidRPr="002433C7">
        <w:t xml:space="preserve"> </w:t>
      </w:r>
    </w:p>
    <w:p w:rsidR="002433C7" w:rsidRPr="002433C7" w:rsidRDefault="002433C7" w:rsidP="002433C7">
      <w:r w:rsidRPr="002433C7">
        <w:t xml:space="preserve">Source: </w:t>
      </w:r>
      <w:proofErr w:type="spellStart"/>
      <w:r w:rsidRPr="002433C7">
        <w:t>DfE</w:t>
      </w:r>
      <w:proofErr w:type="spellEnd"/>
      <w:r w:rsidRPr="002433C7">
        <w:t xml:space="preserve">, 2014a, table 2a. </w:t>
      </w:r>
    </w:p>
    <w:p w:rsidR="00741330" w:rsidRDefault="002433C7" w:rsidP="00741330">
      <w:r w:rsidRPr="002433C7">
        <w:rPr>
          <w:noProof/>
          <w:lang w:val="en-US"/>
        </w:rPr>
        <w:lastRenderedPageBreak/>
        <w:drawing>
          <wp:inline distT="0" distB="0" distL="0" distR="0">
            <wp:extent cx="8616999" cy="5603630"/>
            <wp:effectExtent l="19050" t="0" r="12651" b="0"/>
            <wp:docPr id="6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433C7" w:rsidRPr="002433C7" w:rsidRDefault="002433C7" w:rsidP="002433C7">
      <w:r w:rsidRPr="002433C7">
        <w:t xml:space="preserve">Sources: </w:t>
      </w:r>
      <w:proofErr w:type="spellStart"/>
      <w:r w:rsidRPr="002433C7">
        <w:t>DfES</w:t>
      </w:r>
      <w:proofErr w:type="spellEnd"/>
      <w:r w:rsidRPr="002433C7">
        <w:t xml:space="preserve">, 2005a, table a; </w:t>
      </w:r>
      <w:proofErr w:type="spellStart"/>
      <w:r w:rsidRPr="002433C7">
        <w:t>DfES</w:t>
      </w:r>
      <w:proofErr w:type="spellEnd"/>
      <w:r w:rsidRPr="002433C7">
        <w:t xml:space="preserve">, 2006a, tables 7 &amp; 8; </w:t>
      </w:r>
      <w:proofErr w:type="spellStart"/>
      <w:r w:rsidRPr="002433C7">
        <w:t>DfE</w:t>
      </w:r>
      <w:proofErr w:type="spellEnd"/>
      <w:r w:rsidRPr="002433C7">
        <w:t xml:space="preserve">, 2010a, table 2a; </w:t>
      </w:r>
      <w:proofErr w:type="spellStart"/>
      <w:r w:rsidRPr="002433C7">
        <w:t>DfE</w:t>
      </w:r>
      <w:proofErr w:type="spellEnd"/>
      <w:r w:rsidRPr="002433C7">
        <w:t xml:space="preserve">, 2013, table 2a; </w:t>
      </w:r>
      <w:proofErr w:type="spellStart"/>
      <w:r w:rsidRPr="002433C7">
        <w:t>DfE</w:t>
      </w:r>
      <w:proofErr w:type="spellEnd"/>
      <w:r w:rsidRPr="002433C7">
        <w:t xml:space="preserve">, 2014a, table 2a </w:t>
      </w:r>
    </w:p>
    <w:sectPr w:rsidR="002433C7" w:rsidRPr="002433C7" w:rsidSect="00BD4DDF">
      <w:pgSz w:w="16838" w:h="11906" w:orient="landscape"/>
      <w:pgMar w:top="1135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DDF"/>
    <w:rsid w:val="00044657"/>
    <w:rsid w:val="002433C7"/>
    <w:rsid w:val="0056799F"/>
    <w:rsid w:val="0060198A"/>
    <w:rsid w:val="006422FC"/>
    <w:rsid w:val="00741330"/>
    <w:rsid w:val="00852CEB"/>
    <w:rsid w:val="00BD4DDF"/>
    <w:rsid w:val="00D818F6"/>
    <w:rsid w:val="00D9189D"/>
    <w:rsid w:val="00FA6F29"/>
    <w:rsid w:val="00FF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7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7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chart" Target="charts/chart4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Relationship Id="rId2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4.xlsx"/><Relationship Id="rId2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 sz="1400" baseline="0" dirty="0" smtClean="0">
                <a:latin typeface="Arial" pitchFamily="34" charset="0"/>
                <a:cs typeface="Arial" pitchFamily="34" charset="0"/>
              </a:rPr>
              <a:t>Figure 1: Five or more higher grade GCSE passes, any subject, 1988 – 2013 (percentages)</a:t>
            </a:r>
            <a:endParaRPr lang="en-GB" sz="1400" dirty="0">
              <a:latin typeface="Arial" pitchFamily="34" charset="0"/>
              <a:cs typeface="Arial" pitchFamily="34" charset="0"/>
            </a:endParaRP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Sheet1!$B$2</c:f>
              <c:strCache>
                <c:ptCount val="1"/>
                <c:pt idx="0">
                  <c:v>White/White British</c:v>
                </c:pt>
              </c:strCache>
            </c:strRef>
          </c:tx>
          <c:spPr>
            <a:ln>
              <a:solidFill>
                <a:srgbClr val="0000FF"/>
              </a:solidFill>
              <a:prstDash val="dash"/>
            </a:ln>
          </c:spPr>
          <c:marker>
            <c:spPr>
              <a:solidFill>
                <a:srgbClr val="0000FF"/>
              </a:solidFill>
              <a:ln>
                <a:solidFill>
                  <a:srgbClr val="0000FF"/>
                </a:solidFill>
              </a:ln>
            </c:spPr>
          </c:marker>
          <c:dPt>
            <c:idx val="16"/>
            <c:bubble3D val="0"/>
            <c:spPr>
              <a:ln>
                <a:noFill/>
                <a:prstDash val="dash"/>
              </a:ln>
            </c:spPr>
          </c:dPt>
          <c:cat>
            <c:numRef>
              <c:f>Sheet1!$A$3:$A$28</c:f>
              <c:numCache>
                <c:formatCode>General</c:formatCode>
                <c:ptCount val="26"/>
                <c:pt idx="0">
                  <c:v>1988.0</c:v>
                </c:pt>
                <c:pt idx="1">
                  <c:v>1989.0</c:v>
                </c:pt>
                <c:pt idx="2">
                  <c:v>1990.0</c:v>
                </c:pt>
                <c:pt idx="3">
                  <c:v>1991.0</c:v>
                </c:pt>
                <c:pt idx="4">
                  <c:v>1992.0</c:v>
                </c:pt>
                <c:pt idx="5">
                  <c:v>1993.0</c:v>
                </c:pt>
                <c:pt idx="6">
                  <c:v>1994.0</c:v>
                </c:pt>
                <c:pt idx="7">
                  <c:v>1995.0</c:v>
                </c:pt>
                <c:pt idx="8">
                  <c:v>1996.0</c:v>
                </c:pt>
                <c:pt idx="9">
                  <c:v>1997.0</c:v>
                </c:pt>
                <c:pt idx="10">
                  <c:v>1998.0</c:v>
                </c:pt>
                <c:pt idx="11">
                  <c:v>1999.0</c:v>
                </c:pt>
                <c:pt idx="12">
                  <c:v>2000.0</c:v>
                </c:pt>
                <c:pt idx="13">
                  <c:v>2001.0</c:v>
                </c:pt>
                <c:pt idx="14">
                  <c:v>2002.0</c:v>
                </c:pt>
                <c:pt idx="15">
                  <c:v>2003.0</c:v>
                </c:pt>
                <c:pt idx="16">
                  <c:v>2004.0</c:v>
                </c:pt>
                <c:pt idx="17">
                  <c:v>2005.0</c:v>
                </c:pt>
                <c:pt idx="18">
                  <c:v>2006.0</c:v>
                </c:pt>
                <c:pt idx="19">
                  <c:v>2007.0</c:v>
                </c:pt>
                <c:pt idx="20">
                  <c:v>2008.0</c:v>
                </c:pt>
                <c:pt idx="21">
                  <c:v>2009.0</c:v>
                </c:pt>
                <c:pt idx="22">
                  <c:v>2010.0</c:v>
                </c:pt>
                <c:pt idx="23">
                  <c:v>2011.0</c:v>
                </c:pt>
                <c:pt idx="24">
                  <c:v>2012.0</c:v>
                </c:pt>
                <c:pt idx="25">
                  <c:v>2013.0</c:v>
                </c:pt>
              </c:numCache>
            </c:numRef>
          </c:cat>
          <c:val>
            <c:numRef>
              <c:f>Sheet1!$B$3:$B$28</c:f>
              <c:numCache>
                <c:formatCode>General</c:formatCode>
                <c:ptCount val="26"/>
                <c:pt idx="0">
                  <c:v>30.0</c:v>
                </c:pt>
                <c:pt idx="2">
                  <c:v>35.0</c:v>
                </c:pt>
                <c:pt idx="3">
                  <c:v>37.0</c:v>
                </c:pt>
                <c:pt idx="5">
                  <c:v>43.0</c:v>
                </c:pt>
                <c:pt idx="8">
                  <c:v>45.0</c:v>
                </c:pt>
                <c:pt idx="9">
                  <c:v>47.0</c:v>
                </c:pt>
                <c:pt idx="11">
                  <c:v>50.0</c:v>
                </c:pt>
                <c:pt idx="13">
                  <c:v>52.0</c:v>
                </c:pt>
                <c:pt idx="15">
                  <c:v>55.0</c:v>
                </c:pt>
                <c:pt idx="16">
                  <c:v>52.0</c:v>
                </c:pt>
                <c:pt idx="17">
                  <c:v>55.0</c:v>
                </c:pt>
                <c:pt idx="18">
                  <c:v>57.5</c:v>
                </c:pt>
                <c:pt idx="19">
                  <c:v>60.1</c:v>
                </c:pt>
                <c:pt idx="20" formatCode="#,##0.0">
                  <c:v>64.5</c:v>
                </c:pt>
                <c:pt idx="21" formatCode="#,##0.0">
                  <c:v>69.8</c:v>
                </c:pt>
                <c:pt idx="22" formatCode="#,##0.0">
                  <c:v>76.0</c:v>
                </c:pt>
                <c:pt idx="23" formatCode="#,##0.0">
                  <c:v>80.3</c:v>
                </c:pt>
                <c:pt idx="24" formatCode="#,##0.0">
                  <c:v>82.9</c:v>
                </c:pt>
                <c:pt idx="25">
                  <c:v>82.7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Sheet1!$C$2</c:f>
              <c:strCache>
                <c:ptCount val="1"/>
                <c:pt idx="0">
                  <c:v>Black/Black Caribbean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</c:spPr>
          </c:marker>
          <c:dPt>
            <c:idx val="16"/>
            <c:bubble3D val="0"/>
            <c:spPr>
              <a:ln>
                <a:noFill/>
              </a:ln>
            </c:spPr>
          </c:dPt>
          <c:cat>
            <c:numRef>
              <c:f>Sheet1!$A$3:$A$28</c:f>
              <c:numCache>
                <c:formatCode>General</c:formatCode>
                <c:ptCount val="26"/>
                <c:pt idx="0">
                  <c:v>1988.0</c:v>
                </c:pt>
                <c:pt idx="1">
                  <c:v>1989.0</c:v>
                </c:pt>
                <c:pt idx="2">
                  <c:v>1990.0</c:v>
                </c:pt>
                <c:pt idx="3">
                  <c:v>1991.0</c:v>
                </c:pt>
                <c:pt idx="4">
                  <c:v>1992.0</c:v>
                </c:pt>
                <c:pt idx="5">
                  <c:v>1993.0</c:v>
                </c:pt>
                <c:pt idx="6">
                  <c:v>1994.0</c:v>
                </c:pt>
                <c:pt idx="7">
                  <c:v>1995.0</c:v>
                </c:pt>
                <c:pt idx="8">
                  <c:v>1996.0</c:v>
                </c:pt>
                <c:pt idx="9">
                  <c:v>1997.0</c:v>
                </c:pt>
                <c:pt idx="10">
                  <c:v>1998.0</c:v>
                </c:pt>
                <c:pt idx="11">
                  <c:v>1999.0</c:v>
                </c:pt>
                <c:pt idx="12">
                  <c:v>2000.0</c:v>
                </c:pt>
                <c:pt idx="13">
                  <c:v>2001.0</c:v>
                </c:pt>
                <c:pt idx="14">
                  <c:v>2002.0</c:v>
                </c:pt>
                <c:pt idx="15">
                  <c:v>2003.0</c:v>
                </c:pt>
                <c:pt idx="16">
                  <c:v>2004.0</c:v>
                </c:pt>
                <c:pt idx="17">
                  <c:v>2005.0</c:v>
                </c:pt>
                <c:pt idx="18">
                  <c:v>2006.0</c:v>
                </c:pt>
                <c:pt idx="19">
                  <c:v>2007.0</c:v>
                </c:pt>
                <c:pt idx="20">
                  <c:v>2008.0</c:v>
                </c:pt>
                <c:pt idx="21">
                  <c:v>2009.0</c:v>
                </c:pt>
                <c:pt idx="22">
                  <c:v>2010.0</c:v>
                </c:pt>
                <c:pt idx="23">
                  <c:v>2011.0</c:v>
                </c:pt>
                <c:pt idx="24">
                  <c:v>2012.0</c:v>
                </c:pt>
                <c:pt idx="25">
                  <c:v>2013.0</c:v>
                </c:pt>
              </c:numCache>
            </c:numRef>
          </c:cat>
          <c:val>
            <c:numRef>
              <c:f>Sheet1!$C$3:$C$28</c:f>
              <c:numCache>
                <c:formatCode>General</c:formatCode>
                <c:ptCount val="26"/>
                <c:pt idx="0">
                  <c:v>18.0</c:v>
                </c:pt>
                <c:pt idx="2">
                  <c:v>19.0</c:v>
                </c:pt>
                <c:pt idx="3">
                  <c:v>23.0</c:v>
                </c:pt>
                <c:pt idx="5">
                  <c:v>21.0</c:v>
                </c:pt>
                <c:pt idx="8">
                  <c:v>23.0</c:v>
                </c:pt>
                <c:pt idx="9">
                  <c:v>29.0</c:v>
                </c:pt>
                <c:pt idx="11">
                  <c:v>39.0</c:v>
                </c:pt>
                <c:pt idx="13">
                  <c:v>36.0</c:v>
                </c:pt>
                <c:pt idx="15">
                  <c:v>34.0</c:v>
                </c:pt>
                <c:pt idx="16">
                  <c:v>36.0</c:v>
                </c:pt>
                <c:pt idx="17">
                  <c:v>42.0</c:v>
                </c:pt>
                <c:pt idx="18">
                  <c:v>44.9</c:v>
                </c:pt>
                <c:pt idx="19">
                  <c:v>50.1</c:v>
                </c:pt>
                <c:pt idx="20" formatCode="#,##0.0">
                  <c:v>55.4</c:v>
                </c:pt>
                <c:pt idx="21" formatCode="#,##0.0">
                  <c:v>63.3</c:v>
                </c:pt>
                <c:pt idx="22" formatCode="#,##0.0">
                  <c:v>71.0</c:v>
                </c:pt>
                <c:pt idx="23" formatCode="#,##0.0">
                  <c:v>77.5</c:v>
                </c:pt>
                <c:pt idx="24" formatCode="#,##0.0">
                  <c:v>79.7</c:v>
                </c:pt>
                <c:pt idx="25">
                  <c:v>80.4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18433896"/>
        <c:axId val="2110340232"/>
      </c:lineChart>
      <c:catAx>
        <c:axId val="2118433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110340232"/>
        <c:crosses val="autoZero"/>
        <c:auto val="1"/>
        <c:lblAlgn val="ctr"/>
        <c:lblOffset val="100"/>
        <c:noMultiLvlLbl val="0"/>
      </c:catAx>
      <c:valAx>
        <c:axId val="211034023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GB" sz="1200" b="0" dirty="0" smtClean="0">
                    <a:latin typeface="Arial" pitchFamily="34" charset="0"/>
                    <a:cs typeface="Arial" pitchFamily="34" charset="0"/>
                  </a:rPr>
                  <a:t>Percentage</a:t>
                </a:r>
                <a:endParaRPr lang="en-GB" sz="1200" b="0" dirty="0">
                  <a:latin typeface="Arial" pitchFamily="34" charset="0"/>
                  <a:cs typeface="Arial" pitchFamily="34" charset="0"/>
                </a:endParaRPr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 baseline="0">
                <a:latin typeface="Arial" pitchFamily="34" charset="0"/>
              </a:defRPr>
            </a:pPr>
            <a:endParaRPr lang="en-US"/>
          </a:p>
        </c:txPr>
        <c:crossAx val="211843389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800" baseline="0">
                <a:latin typeface="Arial" pitchFamily="34" charset="0"/>
              </a:defRPr>
            </a:pPr>
            <a:endParaRPr lang="en-US"/>
          </a:p>
        </c:txPr>
      </c:dTable>
    </c:plotArea>
    <c:plotVisOnly val="1"/>
    <c:dispBlanksAs val="gap"/>
    <c:showDLblsOverMax val="0"/>
  </c:chart>
  <c:txPr>
    <a:bodyPr/>
    <a:lstStyle/>
    <a:p>
      <a:pPr>
        <a:defRPr sz="1800"/>
      </a:pPr>
      <a:endParaRPr lang="en-US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 dirty="0" smtClean="0"/>
              <a:t>Figure 2: The </a:t>
            </a:r>
            <a:r>
              <a:rPr lang="en-GB" dirty="0"/>
              <a:t>Introduction of the ‘Gold Standard</a:t>
            </a:r>
            <a:r>
              <a:rPr lang="en-GB" dirty="0" smtClean="0"/>
              <a:t>’:</a:t>
            </a:r>
          </a:p>
          <a:p>
            <a:pPr>
              <a:defRPr/>
            </a:pPr>
            <a:r>
              <a:rPr lang="en-GB" dirty="0" smtClean="0"/>
              <a:t>two </a:t>
            </a:r>
            <a:r>
              <a:rPr lang="en-GB" dirty="0"/>
              <a:t>measures compared, </a:t>
            </a:r>
            <a:r>
              <a:rPr lang="en-GB" dirty="0" smtClean="0"/>
              <a:t>2006 (percentages)</a:t>
            </a:r>
            <a:endParaRPr lang="en-GB" dirty="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Sheet1!$B$2</c:f>
              <c:strCache>
                <c:ptCount val="1"/>
                <c:pt idx="0">
                  <c:v>5+ A*-C any subject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  <a:ln>
              <a:solidFill>
                <a:schemeClr val="tx1"/>
              </a:solidFill>
            </a:ln>
          </c:spPr>
          <c:invertIfNegative val="0"/>
          <c:cat>
            <c:strRef>
              <c:f>Sheet1!$A$3:$A$4</c:f>
              <c:strCache>
                <c:ptCount val="2"/>
                <c:pt idx="0">
                  <c:v>White British</c:v>
                </c:pt>
                <c:pt idx="1">
                  <c:v>Black Caribbean</c:v>
                </c:pt>
              </c:strCache>
            </c:strRef>
          </c:cat>
          <c:val>
            <c:numRef>
              <c:f>Sheet1!$B$3:$B$4</c:f>
              <c:numCache>
                <c:formatCode>General</c:formatCode>
                <c:ptCount val="2"/>
                <c:pt idx="0">
                  <c:v>57.5</c:v>
                </c:pt>
                <c:pt idx="1">
                  <c:v>44.9</c:v>
                </c:pt>
              </c:numCache>
            </c:numRef>
          </c:val>
        </c:ser>
        <c:ser>
          <c:idx val="1"/>
          <c:order val="1"/>
          <c:tx>
            <c:strRef>
              <c:f>Sheet1!$C$2</c:f>
              <c:strCache>
                <c:ptCount val="1"/>
                <c:pt idx="0">
                  <c:v>Gold Standard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prstClr val="black"/>
              </a:solidFill>
            </a:ln>
          </c:spPr>
          <c:invertIfNegative val="0"/>
          <c:cat>
            <c:strRef>
              <c:f>Sheet1!$A$3:$A$4</c:f>
              <c:strCache>
                <c:ptCount val="2"/>
                <c:pt idx="0">
                  <c:v>White British</c:v>
                </c:pt>
                <c:pt idx="1">
                  <c:v>Black Caribbean</c:v>
                </c:pt>
              </c:strCache>
            </c:strRef>
          </c:cat>
          <c:val>
            <c:numRef>
              <c:f>Sheet1!$C$3:$C$4</c:f>
              <c:numCache>
                <c:formatCode>General</c:formatCode>
                <c:ptCount val="2"/>
                <c:pt idx="0">
                  <c:v>44.3</c:v>
                </c:pt>
                <c:pt idx="1">
                  <c:v>29.5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13710600"/>
        <c:axId val="2132340392"/>
      </c:barChart>
      <c:catAx>
        <c:axId val="2113710600"/>
        <c:scaling>
          <c:orientation val="minMax"/>
        </c:scaling>
        <c:delete val="0"/>
        <c:axPos val="b"/>
        <c:majorTickMark val="none"/>
        <c:minorTickMark val="none"/>
        <c:tickLblPos val="nextTo"/>
        <c:crossAx val="2132340392"/>
        <c:crosses val="autoZero"/>
        <c:auto val="1"/>
        <c:lblAlgn val="ctr"/>
        <c:lblOffset val="100"/>
        <c:noMultiLvlLbl val="0"/>
      </c:catAx>
      <c:valAx>
        <c:axId val="213234039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GB"/>
                  <a:t>percentage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11371060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 sz="1200" baseline="0">
          <a:latin typeface="Arial" pitchFamily="34" charset="0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 sz="1600" b="1" smtClean="0">
                <a:latin typeface="Arial" pitchFamily="34" charset="0"/>
                <a:cs typeface="Arial" pitchFamily="34" charset="0"/>
              </a:rPr>
              <a:t>Figure 3: The </a:t>
            </a:r>
            <a:r>
              <a:rPr lang="en-GB" sz="1600" b="1" dirty="0" err="1" smtClean="0">
                <a:latin typeface="Arial" pitchFamily="34" charset="0"/>
                <a:cs typeface="Arial" pitchFamily="34" charset="0"/>
              </a:rPr>
              <a:t>E.Bacc</a:t>
            </a:r>
            <a:r>
              <a:rPr lang="en-GB" sz="1600" b="1" dirty="0" smtClean="0">
                <a:latin typeface="Arial" pitchFamily="34" charset="0"/>
                <a:cs typeface="Arial" pitchFamily="34" charset="0"/>
              </a:rPr>
              <a:t> Penalty*:</a:t>
            </a:r>
          </a:p>
          <a:p>
            <a:pPr>
              <a:defRPr/>
            </a:pPr>
            <a:r>
              <a:rPr lang="en-GB" sz="1600" b="1" dirty="0" smtClean="0">
                <a:latin typeface="Arial" pitchFamily="34" charset="0"/>
                <a:cs typeface="Arial" pitchFamily="34" charset="0"/>
              </a:rPr>
              <a:t>two measures compared, percentages, England 2011 </a:t>
            </a:r>
            <a:endParaRPr lang="en-GB" sz="1600" b="1" dirty="0">
              <a:latin typeface="Arial" pitchFamily="34" charset="0"/>
              <a:cs typeface="Arial" pitchFamily="34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Gold Standard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  <a:ln>
              <a:solidFill>
                <a:schemeClr val="tx1"/>
              </a:solidFill>
            </a:ln>
          </c:spPr>
          <c:invertIfNegative val="0"/>
          <c:cat>
            <c:strRef>
              <c:f>Sheet1!$A$2:$A$3</c:f>
              <c:strCache>
                <c:ptCount val="2"/>
                <c:pt idx="0">
                  <c:v>White British</c:v>
                </c:pt>
                <c:pt idx="1">
                  <c:v>Black Caribbean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58.2</c:v>
                </c:pt>
                <c:pt idx="1">
                  <c:v>48.6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E.Bacc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prstClr val="black"/>
              </a:solidFill>
            </a:ln>
          </c:spPr>
          <c:invertIfNegative val="0"/>
          <c:cat>
            <c:strRef>
              <c:f>Sheet1!$A$2:$A$3</c:f>
              <c:strCache>
                <c:ptCount val="2"/>
                <c:pt idx="0">
                  <c:v>White British</c:v>
                </c:pt>
                <c:pt idx="1">
                  <c:v>Black Caribbean</c:v>
                </c:pt>
              </c:strCache>
            </c:strRef>
          </c:cat>
          <c:val>
            <c:numRef>
              <c:f>Sheet1!$C$2:$C$3</c:f>
              <c:numCache>
                <c:formatCode>#,##0.0</c:formatCode>
                <c:ptCount val="2"/>
                <c:pt idx="0">
                  <c:v>15.3</c:v>
                </c:pt>
                <c:pt idx="1">
                  <c:v>7.6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16084184"/>
        <c:axId val="2118539624"/>
      </c:barChart>
      <c:catAx>
        <c:axId val="2116084184"/>
        <c:scaling>
          <c:orientation val="minMax"/>
        </c:scaling>
        <c:delete val="0"/>
        <c:axPos val="b"/>
        <c:majorTickMark val="none"/>
        <c:minorTickMark val="none"/>
        <c:tickLblPos val="nextTo"/>
        <c:crossAx val="2118539624"/>
        <c:crosses val="autoZero"/>
        <c:auto val="1"/>
        <c:lblAlgn val="ctr"/>
        <c:lblOffset val="100"/>
        <c:noMultiLvlLbl val="0"/>
      </c:catAx>
      <c:valAx>
        <c:axId val="211853962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GB" sz="1200" b="0" dirty="0" smtClean="0">
                    <a:latin typeface="Arial" pitchFamily="34" charset="0"/>
                    <a:cs typeface="Arial" pitchFamily="34" charset="0"/>
                  </a:rPr>
                  <a:t>percentage</a:t>
                </a:r>
                <a:endParaRPr lang="en-GB" sz="1200" b="0" dirty="0">
                  <a:latin typeface="Arial" pitchFamily="34" charset="0"/>
                  <a:cs typeface="Arial" pitchFamily="34" charset="0"/>
                </a:endParaRP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 baseline="0">
                <a:latin typeface="Arial" pitchFamily="34" charset="0"/>
              </a:defRPr>
            </a:pPr>
            <a:endParaRPr lang="en-US"/>
          </a:p>
        </c:txPr>
        <c:crossAx val="211608418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200" baseline="0">
                <a:latin typeface="Arial" pitchFamily="34" charset="0"/>
              </a:defRPr>
            </a:pPr>
            <a:endParaRPr lang="en-US"/>
          </a:p>
        </c:txPr>
      </c:dTable>
    </c:plotArea>
    <c:plotVisOnly val="1"/>
    <c:dispBlanksAs val="gap"/>
    <c:showDLblsOverMax val="0"/>
  </c:chart>
  <c:txPr>
    <a:bodyPr/>
    <a:lstStyle/>
    <a:p>
      <a:pPr>
        <a:defRPr sz="1800"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 sz="1400" dirty="0" smtClean="0">
                <a:latin typeface="Arial" pitchFamily="34" charset="0"/>
                <a:cs typeface="Arial" pitchFamily="34" charset="0"/>
              </a:rPr>
              <a:t>Figure 4: 25</a:t>
            </a:r>
            <a:r>
              <a:rPr lang="en-GB" sz="1400" baseline="0" dirty="0" smtClean="0">
                <a:latin typeface="Arial" pitchFamily="34" charset="0"/>
                <a:cs typeface="Arial" pitchFamily="34" charset="0"/>
              </a:rPr>
              <a:t> Years of the Black/White Gap: moving the goalposts, </a:t>
            </a:r>
          </a:p>
          <a:p>
            <a:pPr>
              <a:defRPr/>
            </a:pPr>
            <a:r>
              <a:rPr lang="en-GB" sz="1400" baseline="0" dirty="0" smtClean="0">
                <a:latin typeface="Arial" pitchFamily="34" charset="0"/>
                <a:cs typeface="Arial" pitchFamily="34" charset="0"/>
              </a:rPr>
              <a:t>1988 – 2013</a:t>
            </a:r>
            <a:endParaRPr lang="en-GB" sz="1400" dirty="0">
              <a:latin typeface="Arial" pitchFamily="34" charset="0"/>
              <a:cs typeface="Arial" pitchFamily="34" charset="0"/>
            </a:endParaRP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Sheet1!$B$2</c:f>
              <c:strCache>
                <c:ptCount val="1"/>
                <c:pt idx="0">
                  <c:v>White/White British</c:v>
                </c:pt>
              </c:strCache>
            </c:strRef>
          </c:tx>
          <c:spPr>
            <a:ln>
              <a:solidFill>
                <a:srgbClr val="0000FF"/>
              </a:solidFill>
              <a:prstDash val="dash"/>
            </a:ln>
          </c:spPr>
          <c:marker>
            <c:spPr>
              <a:solidFill>
                <a:srgbClr val="0000FF"/>
              </a:solidFill>
              <a:ln>
                <a:solidFill>
                  <a:srgbClr val="0000FF"/>
                </a:solidFill>
              </a:ln>
            </c:spPr>
          </c:marker>
          <c:dPt>
            <c:idx val="16"/>
            <c:bubble3D val="0"/>
            <c:spPr>
              <a:ln>
                <a:noFill/>
                <a:prstDash val="dash"/>
              </a:ln>
            </c:spPr>
          </c:dPt>
          <c:cat>
            <c:numRef>
              <c:f>Sheet1!$A$3:$A$28</c:f>
              <c:numCache>
                <c:formatCode>General</c:formatCode>
                <c:ptCount val="26"/>
                <c:pt idx="0">
                  <c:v>1988.0</c:v>
                </c:pt>
                <c:pt idx="1">
                  <c:v>1989.0</c:v>
                </c:pt>
                <c:pt idx="2">
                  <c:v>1990.0</c:v>
                </c:pt>
                <c:pt idx="3">
                  <c:v>1991.0</c:v>
                </c:pt>
                <c:pt idx="4">
                  <c:v>1992.0</c:v>
                </c:pt>
                <c:pt idx="5">
                  <c:v>1993.0</c:v>
                </c:pt>
                <c:pt idx="6">
                  <c:v>1994.0</c:v>
                </c:pt>
                <c:pt idx="7">
                  <c:v>1995.0</c:v>
                </c:pt>
                <c:pt idx="8">
                  <c:v>1996.0</c:v>
                </c:pt>
                <c:pt idx="9">
                  <c:v>1997.0</c:v>
                </c:pt>
                <c:pt idx="10">
                  <c:v>1998.0</c:v>
                </c:pt>
                <c:pt idx="11">
                  <c:v>1999.0</c:v>
                </c:pt>
                <c:pt idx="12">
                  <c:v>2000.0</c:v>
                </c:pt>
                <c:pt idx="13">
                  <c:v>2001.0</c:v>
                </c:pt>
                <c:pt idx="14">
                  <c:v>2002.0</c:v>
                </c:pt>
                <c:pt idx="15">
                  <c:v>2003.0</c:v>
                </c:pt>
                <c:pt idx="16">
                  <c:v>2004.0</c:v>
                </c:pt>
                <c:pt idx="17">
                  <c:v>2005.0</c:v>
                </c:pt>
                <c:pt idx="18">
                  <c:v>2006.0</c:v>
                </c:pt>
                <c:pt idx="19">
                  <c:v>2007.0</c:v>
                </c:pt>
                <c:pt idx="20">
                  <c:v>2008.0</c:v>
                </c:pt>
                <c:pt idx="21">
                  <c:v>2009.0</c:v>
                </c:pt>
                <c:pt idx="22">
                  <c:v>2010.0</c:v>
                </c:pt>
                <c:pt idx="23">
                  <c:v>2011.0</c:v>
                </c:pt>
                <c:pt idx="24">
                  <c:v>2012.0</c:v>
                </c:pt>
                <c:pt idx="25">
                  <c:v>2013.0</c:v>
                </c:pt>
              </c:numCache>
            </c:numRef>
          </c:cat>
          <c:val>
            <c:numRef>
              <c:f>Sheet1!$B$3:$B$28</c:f>
              <c:numCache>
                <c:formatCode>General</c:formatCode>
                <c:ptCount val="26"/>
                <c:pt idx="0" formatCode="0.0">
                  <c:v>30.0</c:v>
                </c:pt>
                <c:pt idx="2" formatCode="0.0">
                  <c:v>35.0</c:v>
                </c:pt>
                <c:pt idx="3" formatCode="0.0">
                  <c:v>37.0</c:v>
                </c:pt>
                <c:pt idx="5" formatCode="0.0">
                  <c:v>43.0</c:v>
                </c:pt>
                <c:pt idx="8" formatCode="0.0">
                  <c:v>45.0</c:v>
                </c:pt>
                <c:pt idx="9" formatCode="0.0">
                  <c:v>47.0</c:v>
                </c:pt>
                <c:pt idx="11" formatCode="0.0">
                  <c:v>50.0</c:v>
                </c:pt>
                <c:pt idx="13" formatCode="0.0">
                  <c:v>52.0</c:v>
                </c:pt>
                <c:pt idx="15" formatCode="0.0">
                  <c:v>55.0</c:v>
                </c:pt>
                <c:pt idx="16" formatCode="0.0">
                  <c:v>52.0</c:v>
                </c:pt>
                <c:pt idx="17" formatCode="0.0">
                  <c:v>55.0</c:v>
                </c:pt>
                <c:pt idx="18">
                  <c:v>44.3</c:v>
                </c:pt>
                <c:pt idx="19">
                  <c:v>46.1</c:v>
                </c:pt>
                <c:pt idx="20" formatCode="#,##0.0">
                  <c:v>48.4</c:v>
                </c:pt>
                <c:pt idx="21" formatCode="#,##0.0">
                  <c:v>50.9</c:v>
                </c:pt>
                <c:pt idx="22" formatCode="#,##0.0">
                  <c:v>55.3</c:v>
                </c:pt>
                <c:pt idx="23" formatCode="#,##0.0">
                  <c:v>15.3</c:v>
                </c:pt>
                <c:pt idx="24" formatCode="#,##0.0">
                  <c:v>15.9</c:v>
                </c:pt>
                <c:pt idx="25">
                  <c:v>22.0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Sheet1!$C$2</c:f>
              <c:strCache>
                <c:ptCount val="1"/>
                <c:pt idx="0">
                  <c:v>Black/Black Caribbean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</c:spPr>
          </c:marker>
          <c:dPt>
            <c:idx val="16"/>
            <c:bubble3D val="0"/>
            <c:spPr>
              <a:ln>
                <a:noFill/>
              </a:ln>
            </c:spPr>
          </c:dPt>
          <c:cat>
            <c:numRef>
              <c:f>Sheet1!$A$3:$A$28</c:f>
              <c:numCache>
                <c:formatCode>General</c:formatCode>
                <c:ptCount val="26"/>
                <c:pt idx="0">
                  <c:v>1988.0</c:v>
                </c:pt>
                <c:pt idx="1">
                  <c:v>1989.0</c:v>
                </c:pt>
                <c:pt idx="2">
                  <c:v>1990.0</c:v>
                </c:pt>
                <c:pt idx="3">
                  <c:v>1991.0</c:v>
                </c:pt>
                <c:pt idx="4">
                  <c:v>1992.0</c:v>
                </c:pt>
                <c:pt idx="5">
                  <c:v>1993.0</c:v>
                </c:pt>
                <c:pt idx="6">
                  <c:v>1994.0</c:v>
                </c:pt>
                <c:pt idx="7">
                  <c:v>1995.0</c:v>
                </c:pt>
                <c:pt idx="8">
                  <c:v>1996.0</c:v>
                </c:pt>
                <c:pt idx="9">
                  <c:v>1997.0</c:v>
                </c:pt>
                <c:pt idx="10">
                  <c:v>1998.0</c:v>
                </c:pt>
                <c:pt idx="11">
                  <c:v>1999.0</c:v>
                </c:pt>
                <c:pt idx="12">
                  <c:v>2000.0</c:v>
                </c:pt>
                <c:pt idx="13">
                  <c:v>2001.0</c:v>
                </c:pt>
                <c:pt idx="14">
                  <c:v>2002.0</c:v>
                </c:pt>
                <c:pt idx="15">
                  <c:v>2003.0</c:v>
                </c:pt>
                <c:pt idx="16">
                  <c:v>2004.0</c:v>
                </c:pt>
                <c:pt idx="17">
                  <c:v>2005.0</c:v>
                </c:pt>
                <c:pt idx="18">
                  <c:v>2006.0</c:v>
                </c:pt>
                <c:pt idx="19">
                  <c:v>2007.0</c:v>
                </c:pt>
                <c:pt idx="20">
                  <c:v>2008.0</c:v>
                </c:pt>
                <c:pt idx="21">
                  <c:v>2009.0</c:v>
                </c:pt>
                <c:pt idx="22">
                  <c:v>2010.0</c:v>
                </c:pt>
                <c:pt idx="23">
                  <c:v>2011.0</c:v>
                </c:pt>
                <c:pt idx="24">
                  <c:v>2012.0</c:v>
                </c:pt>
                <c:pt idx="25">
                  <c:v>2013.0</c:v>
                </c:pt>
              </c:numCache>
            </c:numRef>
          </c:cat>
          <c:val>
            <c:numRef>
              <c:f>Sheet1!$C$3:$C$28</c:f>
              <c:numCache>
                <c:formatCode>General</c:formatCode>
                <c:ptCount val="26"/>
                <c:pt idx="0" formatCode="0.0">
                  <c:v>18.0</c:v>
                </c:pt>
                <c:pt idx="2" formatCode="0.0">
                  <c:v>19.0</c:v>
                </c:pt>
                <c:pt idx="3" formatCode="0.0">
                  <c:v>23.0</c:v>
                </c:pt>
                <c:pt idx="5" formatCode="0.0">
                  <c:v>21.0</c:v>
                </c:pt>
                <c:pt idx="8" formatCode="0.0">
                  <c:v>23.0</c:v>
                </c:pt>
                <c:pt idx="9" formatCode="0.0">
                  <c:v>29.0</c:v>
                </c:pt>
                <c:pt idx="11" formatCode="0.0">
                  <c:v>39.0</c:v>
                </c:pt>
                <c:pt idx="13" formatCode="0.0">
                  <c:v>36.0</c:v>
                </c:pt>
                <c:pt idx="15" formatCode="0.0">
                  <c:v>34.0</c:v>
                </c:pt>
                <c:pt idx="16" formatCode="0.0">
                  <c:v>36.0</c:v>
                </c:pt>
                <c:pt idx="17" formatCode="0.0">
                  <c:v>42.0</c:v>
                </c:pt>
                <c:pt idx="18">
                  <c:v>29.5</c:v>
                </c:pt>
                <c:pt idx="19">
                  <c:v>33.2</c:v>
                </c:pt>
                <c:pt idx="20" formatCode="#,##0.0">
                  <c:v>36.4</c:v>
                </c:pt>
                <c:pt idx="21" formatCode="#,##0.0">
                  <c:v>39.4</c:v>
                </c:pt>
                <c:pt idx="22" formatCode="#,##0.0">
                  <c:v>43.9</c:v>
                </c:pt>
                <c:pt idx="23" formatCode="#,##0.0">
                  <c:v>7.6</c:v>
                </c:pt>
                <c:pt idx="24" formatCode="#,##0.0">
                  <c:v>8.0</c:v>
                </c:pt>
                <c:pt idx="25" formatCode="#,##0.0">
                  <c:v>14.0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Sheet1!$D$2</c:f>
              <c:strCache>
                <c:ptCount val="1"/>
                <c:pt idx="0">
                  <c:v>Odds Ratio</c:v>
                </c:pt>
              </c:strCache>
            </c:strRef>
          </c:tx>
          <c:spPr>
            <a:ln>
              <a:noFill/>
            </a:ln>
          </c:spPr>
          <c:marker>
            <c:symbol val="none"/>
          </c:marker>
          <c:cat>
            <c:numRef>
              <c:f>Sheet1!$A$3:$A$28</c:f>
              <c:numCache>
                <c:formatCode>General</c:formatCode>
                <c:ptCount val="26"/>
                <c:pt idx="0">
                  <c:v>1988.0</c:v>
                </c:pt>
                <c:pt idx="1">
                  <c:v>1989.0</c:v>
                </c:pt>
                <c:pt idx="2">
                  <c:v>1990.0</c:v>
                </c:pt>
                <c:pt idx="3">
                  <c:v>1991.0</c:v>
                </c:pt>
                <c:pt idx="4">
                  <c:v>1992.0</c:v>
                </c:pt>
                <c:pt idx="5">
                  <c:v>1993.0</c:v>
                </c:pt>
                <c:pt idx="6">
                  <c:v>1994.0</c:v>
                </c:pt>
                <c:pt idx="7">
                  <c:v>1995.0</c:v>
                </c:pt>
                <c:pt idx="8">
                  <c:v>1996.0</c:v>
                </c:pt>
                <c:pt idx="9">
                  <c:v>1997.0</c:v>
                </c:pt>
                <c:pt idx="10">
                  <c:v>1998.0</c:v>
                </c:pt>
                <c:pt idx="11">
                  <c:v>1999.0</c:v>
                </c:pt>
                <c:pt idx="12">
                  <c:v>2000.0</c:v>
                </c:pt>
                <c:pt idx="13">
                  <c:v>2001.0</c:v>
                </c:pt>
                <c:pt idx="14">
                  <c:v>2002.0</c:v>
                </c:pt>
                <c:pt idx="15">
                  <c:v>2003.0</c:v>
                </c:pt>
                <c:pt idx="16">
                  <c:v>2004.0</c:v>
                </c:pt>
                <c:pt idx="17">
                  <c:v>2005.0</c:v>
                </c:pt>
                <c:pt idx="18">
                  <c:v>2006.0</c:v>
                </c:pt>
                <c:pt idx="19">
                  <c:v>2007.0</c:v>
                </c:pt>
                <c:pt idx="20">
                  <c:v>2008.0</c:v>
                </c:pt>
                <c:pt idx="21">
                  <c:v>2009.0</c:v>
                </c:pt>
                <c:pt idx="22">
                  <c:v>2010.0</c:v>
                </c:pt>
                <c:pt idx="23">
                  <c:v>2011.0</c:v>
                </c:pt>
                <c:pt idx="24">
                  <c:v>2012.0</c:v>
                </c:pt>
                <c:pt idx="25">
                  <c:v>2013.0</c:v>
                </c:pt>
              </c:numCache>
            </c:numRef>
          </c:cat>
          <c:val>
            <c:numRef>
              <c:f>Sheet1!$D$3:$D$28</c:f>
              <c:numCache>
                <c:formatCode>General</c:formatCode>
                <c:ptCount val="26"/>
                <c:pt idx="0">
                  <c:v>1.950000000000001</c:v>
                </c:pt>
                <c:pt idx="2">
                  <c:v>2.3</c:v>
                </c:pt>
                <c:pt idx="3">
                  <c:v>1.970000000000001</c:v>
                </c:pt>
                <c:pt idx="5">
                  <c:v>2.84</c:v>
                </c:pt>
                <c:pt idx="8">
                  <c:v>2.74</c:v>
                </c:pt>
                <c:pt idx="9">
                  <c:v>2.17</c:v>
                </c:pt>
                <c:pt idx="11">
                  <c:v>1.56</c:v>
                </c:pt>
                <c:pt idx="13">
                  <c:v>1.930000000000001</c:v>
                </c:pt>
                <c:pt idx="15">
                  <c:v>2.37</c:v>
                </c:pt>
                <c:pt idx="16">
                  <c:v>1.930000000000001</c:v>
                </c:pt>
                <c:pt idx="17">
                  <c:v>1.690000000000002</c:v>
                </c:pt>
                <c:pt idx="18" formatCode="0.00">
                  <c:v>1.9</c:v>
                </c:pt>
                <c:pt idx="19">
                  <c:v>1.720000000000001</c:v>
                </c:pt>
                <c:pt idx="20">
                  <c:v>1.64</c:v>
                </c:pt>
                <c:pt idx="21">
                  <c:v>1.59</c:v>
                </c:pt>
                <c:pt idx="22">
                  <c:v>1.58</c:v>
                </c:pt>
                <c:pt idx="23" formatCode="0.00">
                  <c:v>2.2</c:v>
                </c:pt>
                <c:pt idx="24">
                  <c:v>2.17</c:v>
                </c:pt>
                <c:pt idx="25">
                  <c:v>1.730000000000001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75239256"/>
        <c:axId val="2135071992"/>
      </c:lineChart>
      <c:catAx>
        <c:axId val="2075239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135071992"/>
        <c:crosses val="autoZero"/>
        <c:auto val="1"/>
        <c:lblAlgn val="ctr"/>
        <c:lblOffset val="100"/>
        <c:noMultiLvlLbl val="0"/>
      </c:catAx>
      <c:valAx>
        <c:axId val="213507199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GB" sz="1200" b="0" dirty="0" smtClean="0">
                    <a:latin typeface="Arial" pitchFamily="34" charset="0"/>
                    <a:cs typeface="Arial" pitchFamily="34" charset="0"/>
                  </a:rPr>
                  <a:t>Percentage</a:t>
                </a:r>
                <a:endParaRPr lang="en-GB" sz="1200" b="0" dirty="0">
                  <a:latin typeface="Arial" pitchFamily="34" charset="0"/>
                  <a:cs typeface="Arial" pitchFamily="34" charset="0"/>
                </a:endParaRPr>
              </a:p>
            </c:rich>
          </c:tx>
          <c:overlay val="0"/>
        </c:title>
        <c:numFmt formatCode="0.0" sourceLinked="1"/>
        <c:majorTickMark val="none"/>
        <c:minorTickMark val="none"/>
        <c:tickLblPos val="nextTo"/>
        <c:txPr>
          <a:bodyPr/>
          <a:lstStyle/>
          <a:p>
            <a:pPr>
              <a:defRPr sz="1200" baseline="0">
                <a:latin typeface="Arial" pitchFamily="34" charset="0"/>
              </a:defRPr>
            </a:pPr>
            <a:endParaRPr lang="en-US"/>
          </a:p>
        </c:txPr>
        <c:crossAx val="207523925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800" baseline="0">
                <a:latin typeface="Arial" pitchFamily="34" charset="0"/>
              </a:defRPr>
            </a:pPr>
            <a:endParaRPr lang="en-US"/>
          </a:p>
        </c:txPr>
      </c:dTable>
    </c:plotArea>
    <c:plotVisOnly val="1"/>
    <c:dispBlanksAs val="gap"/>
    <c:showDLblsOverMax val="0"/>
  </c:chart>
  <c:txPr>
    <a:bodyPr/>
    <a:lstStyle/>
    <a:p>
      <a:pPr>
        <a:defRPr sz="1800"/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0.20833</cdr:x>
      <cdr:y>0.59302</cdr:y>
    </cdr:from>
    <cdr:to>
      <cdr:x>0.275</cdr:x>
      <cdr:y>0.63953</cdr:y>
    </cdr:to>
    <cdr:sp macro="" textlink="">
      <cdr:nvSpPr>
        <cdr:cNvPr id="3" name="Straight Connector 2"/>
        <cdr:cNvSpPr/>
      </cdr:nvSpPr>
      <cdr:spPr>
        <a:xfrm xmlns:a="http://schemas.openxmlformats.org/drawingml/2006/main" flipH="1">
          <a:off x="1800197" y="3672408"/>
          <a:ext cx="576066" cy="288032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rgbClr val="0000FF"/>
          </a:solidFill>
          <a:prstDash val="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0.3</cdr:x>
      <cdr:y>0.52326</cdr:y>
    </cdr:from>
    <cdr:to>
      <cdr:x>0.35833</cdr:x>
      <cdr:y>0.5814</cdr:y>
    </cdr:to>
    <cdr:sp macro="" textlink="">
      <cdr:nvSpPr>
        <cdr:cNvPr id="4" name="Straight Connector 3"/>
        <cdr:cNvSpPr/>
      </cdr:nvSpPr>
      <cdr:spPr>
        <a:xfrm xmlns:a="http://schemas.openxmlformats.org/drawingml/2006/main" flipH="1">
          <a:off x="2592286" y="3240360"/>
          <a:ext cx="504057" cy="36004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28575" cap="flat" cmpd="sng" algn="ctr">
          <a:solidFill>
            <a:srgbClr val="0000FF"/>
          </a:solidFill>
          <a:prstDash val="dash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0.20681</cdr:x>
      <cdr:y>0.73293</cdr:y>
    </cdr:from>
    <cdr:to>
      <cdr:x>0.27099</cdr:x>
      <cdr:y>0.74549</cdr:y>
    </cdr:to>
    <cdr:sp macro="" textlink="">
      <cdr:nvSpPr>
        <cdr:cNvPr id="7" name="Straight Connector 6"/>
        <cdr:cNvSpPr/>
      </cdr:nvSpPr>
      <cdr:spPr>
        <a:xfrm xmlns:a="http://schemas.openxmlformats.org/drawingml/2006/main" flipV="1">
          <a:off x="1795463" y="4167187"/>
          <a:ext cx="557212" cy="71438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0.29897</cdr:x>
      <cdr:y>0.70026</cdr:y>
    </cdr:from>
    <cdr:to>
      <cdr:x>0.36096</cdr:x>
      <cdr:y>0.71869</cdr:y>
    </cdr:to>
    <cdr:sp macro="" textlink="">
      <cdr:nvSpPr>
        <cdr:cNvPr id="6" name="Straight Connector 5"/>
        <cdr:cNvSpPr/>
      </cdr:nvSpPr>
      <cdr:spPr>
        <a:xfrm xmlns:a="http://schemas.openxmlformats.org/drawingml/2006/main">
          <a:off x="2595564" y="3981450"/>
          <a:ext cx="538162" cy="104775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28575" cap="flat" cmpd="sng" algn="ctr">
          <a:solidFill>
            <a:srgbClr val="FF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0.36041</cdr:x>
      <cdr:y>0.7011</cdr:y>
    </cdr:from>
    <cdr:to>
      <cdr:x>0.45202</cdr:x>
      <cdr:y>0.71785</cdr:y>
    </cdr:to>
    <cdr:sp macro="" textlink="">
      <cdr:nvSpPr>
        <cdr:cNvPr id="8" name="Straight Connector 7"/>
        <cdr:cNvSpPr/>
      </cdr:nvSpPr>
      <cdr:spPr>
        <a:xfrm xmlns:a="http://schemas.openxmlformats.org/drawingml/2006/main" flipV="1">
          <a:off x="3128964" y="3986212"/>
          <a:ext cx="795336" cy="9525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28575" cap="flat" cmpd="sng" algn="ctr">
          <a:solidFill>
            <a:srgbClr val="FF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0.60398</cdr:x>
      <cdr:y>0.5855</cdr:y>
    </cdr:from>
    <cdr:to>
      <cdr:x>0.66487</cdr:x>
      <cdr:y>0.60728</cdr:y>
    </cdr:to>
    <cdr:sp macro="" textlink="">
      <cdr:nvSpPr>
        <cdr:cNvPr id="9" name="Straight Connector 8"/>
        <cdr:cNvSpPr/>
      </cdr:nvSpPr>
      <cdr:spPr>
        <a:xfrm xmlns:a="http://schemas.openxmlformats.org/drawingml/2006/main">
          <a:off x="5243513" y="3328986"/>
          <a:ext cx="528636" cy="123825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28575" cap="flat" cmpd="sng" algn="ctr">
          <a:solidFill>
            <a:srgbClr val="FF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0.54144</cdr:x>
      <cdr:y>0.56205</cdr:y>
    </cdr:from>
    <cdr:to>
      <cdr:x>0.60452</cdr:x>
      <cdr:y>0.58718</cdr:y>
    </cdr:to>
    <cdr:sp macro="" textlink="">
      <cdr:nvSpPr>
        <cdr:cNvPr id="10" name="Straight Connector 9"/>
        <cdr:cNvSpPr/>
      </cdr:nvSpPr>
      <cdr:spPr>
        <a:xfrm xmlns:a="http://schemas.openxmlformats.org/drawingml/2006/main">
          <a:off x="4700588" y="3195637"/>
          <a:ext cx="547686" cy="142874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28575" cap="flat" cmpd="sng" algn="ctr">
          <a:solidFill>
            <a:srgbClr val="FF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0.48329</cdr:x>
      <cdr:y>0.56037</cdr:y>
    </cdr:from>
    <cdr:to>
      <cdr:x>0.54418</cdr:x>
      <cdr:y>0.64916</cdr:y>
    </cdr:to>
    <cdr:sp macro="" textlink="">
      <cdr:nvSpPr>
        <cdr:cNvPr id="11" name="Straight Connector 10"/>
        <cdr:cNvSpPr/>
      </cdr:nvSpPr>
      <cdr:spPr>
        <a:xfrm xmlns:a="http://schemas.openxmlformats.org/drawingml/2006/main" flipV="1">
          <a:off x="4195762" y="3186111"/>
          <a:ext cx="528637" cy="504825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28575" cap="flat" cmpd="sng" algn="ctr">
          <a:solidFill>
            <a:srgbClr val="FF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0.36096</cdr:x>
      <cdr:y>0.50928</cdr:y>
    </cdr:from>
    <cdr:to>
      <cdr:x>0.45038</cdr:x>
      <cdr:y>0.52771</cdr:y>
    </cdr:to>
    <cdr:sp macro="" textlink="">
      <cdr:nvSpPr>
        <cdr:cNvPr id="12" name="Straight Connector 11"/>
        <cdr:cNvSpPr/>
      </cdr:nvSpPr>
      <cdr:spPr>
        <a:xfrm xmlns:a="http://schemas.openxmlformats.org/drawingml/2006/main" flipH="1">
          <a:off x="3133723" y="2895599"/>
          <a:ext cx="776289" cy="104775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28575" cap="flat" cmpd="sng" algn="ctr">
          <a:solidFill>
            <a:srgbClr val="0000FF"/>
          </a:solidFill>
          <a:prstDash val="dash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0.48329</cdr:x>
      <cdr:y>0.46572</cdr:y>
    </cdr:from>
    <cdr:to>
      <cdr:x>0.54308</cdr:x>
      <cdr:y>0.49253</cdr:y>
    </cdr:to>
    <cdr:sp macro="" textlink="">
      <cdr:nvSpPr>
        <cdr:cNvPr id="13" name="Straight Connector 12"/>
        <cdr:cNvSpPr/>
      </cdr:nvSpPr>
      <cdr:spPr>
        <a:xfrm xmlns:a="http://schemas.openxmlformats.org/drawingml/2006/main" flipH="1">
          <a:off x="4195762" y="2647950"/>
          <a:ext cx="519113" cy="15240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28575" cap="flat" cmpd="sng" algn="ctr">
          <a:solidFill>
            <a:srgbClr val="0000FF"/>
          </a:solidFill>
          <a:prstDash val="dash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0.54363</cdr:x>
      <cdr:y>0.44981</cdr:y>
    </cdr:from>
    <cdr:to>
      <cdr:x>0.60452</cdr:x>
      <cdr:y>0.46488</cdr:y>
    </cdr:to>
    <cdr:sp macro="" textlink="">
      <cdr:nvSpPr>
        <cdr:cNvPr id="14" name="Straight Connector 13"/>
        <cdr:cNvSpPr/>
      </cdr:nvSpPr>
      <cdr:spPr>
        <a:xfrm xmlns:a="http://schemas.openxmlformats.org/drawingml/2006/main" flipH="1">
          <a:off x="4719637" y="2557462"/>
          <a:ext cx="528638" cy="85725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28575" cap="flat" cmpd="sng" algn="ctr">
          <a:solidFill>
            <a:srgbClr val="0000FF"/>
          </a:solidFill>
          <a:prstDash val="dash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0.60452</cdr:x>
      <cdr:y>0.42216</cdr:y>
    </cdr:from>
    <cdr:to>
      <cdr:x>0.66377</cdr:x>
      <cdr:y>0.44813</cdr:y>
    </cdr:to>
    <cdr:sp macro="" textlink="">
      <cdr:nvSpPr>
        <cdr:cNvPr id="15" name="Straight Connector 14"/>
        <cdr:cNvSpPr/>
      </cdr:nvSpPr>
      <cdr:spPr>
        <a:xfrm xmlns:a="http://schemas.openxmlformats.org/drawingml/2006/main" flipH="1">
          <a:off x="5248273" y="2400299"/>
          <a:ext cx="514351" cy="147637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28575" cap="flat" cmpd="sng" algn="ctr">
          <a:solidFill>
            <a:srgbClr val="0000FF"/>
          </a:solidFill>
          <a:prstDash val="dash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0.20947</cdr:x>
      <cdr:y>0.4343</cdr:y>
    </cdr:from>
    <cdr:to>
      <cdr:x>0.26971</cdr:x>
      <cdr:y>0.49464</cdr:y>
    </cdr:to>
    <cdr:sp macro="" textlink="">
      <cdr:nvSpPr>
        <cdr:cNvPr id="3" name="Straight Connector 2"/>
        <cdr:cNvSpPr/>
      </cdr:nvSpPr>
      <cdr:spPr>
        <a:xfrm xmlns:a="http://schemas.openxmlformats.org/drawingml/2006/main" flipH="1">
          <a:off x="1804987" y="2433638"/>
          <a:ext cx="519112" cy="338137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rgbClr val="0000FF"/>
          </a:solidFill>
          <a:prstDash val="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0.3</cdr:x>
      <cdr:y>0.33401</cdr:y>
    </cdr:from>
    <cdr:to>
      <cdr:x>0.36035</cdr:x>
      <cdr:y>0.40698</cdr:y>
    </cdr:to>
    <cdr:sp macro="" textlink="">
      <cdr:nvSpPr>
        <cdr:cNvPr id="4" name="Straight Connector 3"/>
        <cdr:cNvSpPr/>
      </cdr:nvSpPr>
      <cdr:spPr>
        <a:xfrm xmlns:a="http://schemas.openxmlformats.org/drawingml/2006/main" flipH="1">
          <a:off x="2585099" y="1871662"/>
          <a:ext cx="520050" cy="408903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28575" cap="flat" cmpd="sng" algn="ctr">
          <a:solidFill>
            <a:srgbClr val="0000FF"/>
          </a:solidFill>
          <a:prstDash val="dash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0.21168</cdr:x>
      <cdr:y>0.63317</cdr:y>
    </cdr:from>
    <cdr:to>
      <cdr:x>0.26805</cdr:x>
      <cdr:y>0.64592</cdr:y>
    </cdr:to>
    <cdr:sp macro="" textlink="">
      <cdr:nvSpPr>
        <cdr:cNvPr id="7" name="Straight Connector 6"/>
        <cdr:cNvSpPr/>
      </cdr:nvSpPr>
      <cdr:spPr>
        <a:xfrm xmlns:a="http://schemas.openxmlformats.org/drawingml/2006/main" flipV="1">
          <a:off x="1824037" y="3548061"/>
          <a:ext cx="485776" cy="71437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0.36201</cdr:x>
      <cdr:y>0.30851</cdr:y>
    </cdr:from>
    <cdr:to>
      <cdr:x>0.45154</cdr:x>
      <cdr:y>0.33316</cdr:y>
    </cdr:to>
    <cdr:sp macro="" textlink="">
      <cdr:nvSpPr>
        <cdr:cNvPr id="5" name="Straight Connector 4"/>
        <cdr:cNvSpPr/>
      </cdr:nvSpPr>
      <cdr:spPr>
        <a:xfrm xmlns:a="http://schemas.openxmlformats.org/drawingml/2006/main" flipH="1">
          <a:off x="3119437" y="1728787"/>
          <a:ext cx="771525" cy="138114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28575" cap="flat" cmpd="sng" algn="ctr">
          <a:solidFill>
            <a:srgbClr val="0000FF"/>
          </a:solidFill>
          <a:prstDash val="dash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0.4836</cdr:x>
      <cdr:y>0.24562</cdr:y>
    </cdr:from>
    <cdr:to>
      <cdr:x>0.54274</cdr:x>
      <cdr:y>0.28387</cdr:y>
    </cdr:to>
    <cdr:sp macro="" textlink="">
      <cdr:nvSpPr>
        <cdr:cNvPr id="6" name="Straight Connector 5"/>
        <cdr:cNvSpPr/>
      </cdr:nvSpPr>
      <cdr:spPr>
        <a:xfrm xmlns:a="http://schemas.openxmlformats.org/drawingml/2006/main" flipH="1">
          <a:off x="4167186" y="1376362"/>
          <a:ext cx="509588" cy="214314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28575" cap="flat" cmpd="sng" algn="ctr">
          <a:solidFill>
            <a:srgbClr val="0000FF"/>
          </a:solidFill>
          <a:prstDash val="dash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0.54329</cdr:x>
      <cdr:y>0.22097</cdr:y>
    </cdr:from>
    <cdr:to>
      <cdr:x>0.60409</cdr:x>
      <cdr:y>0.24392</cdr:y>
    </cdr:to>
    <cdr:sp macro="" textlink="">
      <cdr:nvSpPr>
        <cdr:cNvPr id="8" name="Straight Connector 7"/>
        <cdr:cNvSpPr/>
      </cdr:nvSpPr>
      <cdr:spPr>
        <a:xfrm xmlns:a="http://schemas.openxmlformats.org/drawingml/2006/main" flipH="1">
          <a:off x="4681537" y="1238250"/>
          <a:ext cx="523875" cy="128588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28575" cap="flat" cmpd="sng" algn="ctr">
          <a:solidFill>
            <a:srgbClr val="0000FF"/>
          </a:solidFill>
          <a:prstDash val="dash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0.60464</cdr:x>
      <cdr:y>0.18273</cdr:y>
    </cdr:from>
    <cdr:to>
      <cdr:x>0.66488</cdr:x>
      <cdr:y>0.22012</cdr:y>
    </cdr:to>
    <cdr:sp macro="" textlink="">
      <cdr:nvSpPr>
        <cdr:cNvPr id="9" name="Straight Connector 8"/>
        <cdr:cNvSpPr/>
      </cdr:nvSpPr>
      <cdr:spPr>
        <a:xfrm xmlns:a="http://schemas.openxmlformats.org/drawingml/2006/main" flipH="1">
          <a:off x="5210174" y="1023937"/>
          <a:ext cx="519113" cy="209551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28575" cap="flat" cmpd="sng" algn="ctr">
          <a:solidFill>
            <a:srgbClr val="0000FF"/>
          </a:solidFill>
          <a:prstDash val="dash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0.30066</cdr:x>
      <cdr:y>0.58303</cdr:y>
    </cdr:from>
    <cdr:to>
      <cdr:x>0.36035</cdr:x>
      <cdr:y>0.60683</cdr:y>
    </cdr:to>
    <cdr:sp macro="" textlink="">
      <cdr:nvSpPr>
        <cdr:cNvPr id="10" name="Straight Connector 9"/>
        <cdr:cNvSpPr/>
      </cdr:nvSpPr>
      <cdr:spPr>
        <a:xfrm xmlns:a="http://schemas.openxmlformats.org/drawingml/2006/main">
          <a:off x="2590799" y="3267074"/>
          <a:ext cx="514351" cy="133351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28575" cap="flat" cmpd="sng" algn="ctr">
          <a:solidFill>
            <a:srgbClr val="FF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0.3609</cdr:x>
      <cdr:y>0.58473</cdr:y>
    </cdr:from>
    <cdr:to>
      <cdr:x>0.45265</cdr:x>
      <cdr:y>0.60853</cdr:y>
    </cdr:to>
    <cdr:sp macro="" textlink="">
      <cdr:nvSpPr>
        <cdr:cNvPr id="11" name="Straight Connector 10"/>
        <cdr:cNvSpPr/>
      </cdr:nvSpPr>
      <cdr:spPr>
        <a:xfrm xmlns:a="http://schemas.openxmlformats.org/drawingml/2006/main" flipV="1">
          <a:off x="3109912" y="3276600"/>
          <a:ext cx="790575" cy="13335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28575" cap="flat" cmpd="sng" algn="ctr">
          <a:solidFill>
            <a:srgbClr val="FF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0.48194</cdr:x>
      <cdr:y>0.38075</cdr:y>
    </cdr:from>
    <cdr:to>
      <cdr:x>0.54495</cdr:x>
      <cdr:y>0.50739</cdr:y>
    </cdr:to>
    <cdr:sp macro="" textlink="">
      <cdr:nvSpPr>
        <cdr:cNvPr id="12" name="Straight Connector 11"/>
        <cdr:cNvSpPr/>
      </cdr:nvSpPr>
      <cdr:spPr>
        <a:xfrm xmlns:a="http://schemas.openxmlformats.org/drawingml/2006/main" flipV="1">
          <a:off x="4152899" y="2133600"/>
          <a:ext cx="542926" cy="709611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28575" cap="flat" cmpd="sng" algn="ctr">
          <a:solidFill>
            <a:srgbClr val="FF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0.5444</cdr:x>
      <cdr:y>0.38245</cdr:y>
    </cdr:from>
    <cdr:to>
      <cdr:x>0.60409</cdr:x>
      <cdr:y>0.4207</cdr:y>
    </cdr:to>
    <cdr:sp macro="" textlink="">
      <cdr:nvSpPr>
        <cdr:cNvPr id="13" name="Straight Connector 12"/>
        <cdr:cNvSpPr/>
      </cdr:nvSpPr>
      <cdr:spPr>
        <a:xfrm xmlns:a="http://schemas.openxmlformats.org/drawingml/2006/main">
          <a:off x="4691062" y="2143125"/>
          <a:ext cx="514351" cy="214312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28575" cap="flat" cmpd="sng" algn="ctr">
          <a:solidFill>
            <a:srgbClr val="FF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0.60519</cdr:x>
      <cdr:y>0.42155</cdr:y>
    </cdr:from>
    <cdr:to>
      <cdr:x>0.66433</cdr:x>
      <cdr:y>0.44365</cdr:y>
    </cdr:to>
    <cdr:sp macro="" textlink="">
      <cdr:nvSpPr>
        <cdr:cNvPr id="14" name="Straight Connector 13"/>
        <cdr:cNvSpPr/>
      </cdr:nvSpPr>
      <cdr:spPr>
        <a:xfrm xmlns:a="http://schemas.openxmlformats.org/drawingml/2006/main">
          <a:off x="5214937" y="2362200"/>
          <a:ext cx="509588" cy="123825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28575" cap="flat" cmpd="sng" algn="ctr">
          <a:solidFill>
            <a:srgbClr val="FF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</Words>
  <Characters>362</Characters>
  <Application>Microsoft Macintosh Word</Application>
  <DocSecurity>0</DocSecurity>
  <Lines>3</Lines>
  <Paragraphs>1</Paragraphs>
  <ScaleCrop>false</ScaleCrop>
  <Company>Hewlett-Packard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N</cp:lastModifiedBy>
  <cp:revision>2</cp:revision>
  <dcterms:created xsi:type="dcterms:W3CDTF">2018-07-15T12:14:00Z</dcterms:created>
  <dcterms:modified xsi:type="dcterms:W3CDTF">2018-07-15T12:14:00Z</dcterms:modified>
</cp:coreProperties>
</file>