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A8AB8" w14:textId="1B608DAF" w:rsidR="007350C3" w:rsidRPr="00715A3E" w:rsidRDefault="007350C3" w:rsidP="005E0D89">
      <w:pPr>
        <w:pStyle w:val="PoLAR"/>
        <w:spacing w:line="240" w:lineRule="auto"/>
        <w:jc w:val="center"/>
        <w:rPr>
          <w:b/>
        </w:rPr>
      </w:pPr>
      <w:r w:rsidRPr="001B3E0D">
        <w:rPr>
          <w:b/>
        </w:rPr>
        <w:t>(In)credible Subjects: NGOs, Attorneys</w:t>
      </w:r>
      <w:r>
        <w:rPr>
          <w:b/>
        </w:rPr>
        <w:t xml:space="preserve">, and </w:t>
      </w:r>
      <w:r w:rsidR="00CC730A">
        <w:rPr>
          <w:b/>
        </w:rPr>
        <w:t>Permissible</w:t>
      </w:r>
      <w:r>
        <w:rPr>
          <w:b/>
        </w:rPr>
        <w:t xml:space="preserve"> “LGBT Asylum Seeker” Identities</w:t>
      </w:r>
    </w:p>
    <w:p w14:paraId="40986C97" w14:textId="279976FA" w:rsidR="007350C3" w:rsidRPr="005E0D89" w:rsidRDefault="007350C3" w:rsidP="005E0D89">
      <w:pPr>
        <w:pStyle w:val="PoLAR"/>
        <w:spacing w:after="0"/>
        <w:rPr>
          <w:rFonts w:eastAsia="Arial Unicode MS"/>
          <w:i/>
          <w:u w:color="000000"/>
        </w:rPr>
      </w:pPr>
      <w:r w:rsidRPr="005E0D89">
        <w:rPr>
          <w:rFonts w:eastAsia="Arial Unicode MS"/>
          <w:i/>
          <w:u w:color="000000"/>
        </w:rPr>
        <w:t xml:space="preserve">In this paper, I demonstrate how statist logics concerning acceptable lesbian, gay, bisexual, and/or transgender (LGBT) immigrants permeate civic spheres, creating new forms of exclusion for asylum seekers in the United States. Existing research on U.S. asylum policy and procedures as they pertain to LGBT claimants suggests that a “gay enough” litmus test typifies U.S. Customs and Immigration Services (USCIS) adjudications, such that officers expect claimants to engage in conspicuous consumption of stereotypical commodities and culture, and to appear visibly “LGBT,” through gender non-conformity, or by being “out.” </w:t>
      </w:r>
      <w:r w:rsidRPr="005E0D89">
        <w:rPr>
          <w:i/>
        </w:rPr>
        <w:t xml:space="preserve">My analysis focuses on </w:t>
      </w:r>
      <w:r w:rsidRPr="005E0D89">
        <w:rPr>
          <w:rFonts w:eastAsia="Arial Unicode MS"/>
          <w:i/>
          <w:u w:color="000000"/>
        </w:rPr>
        <w:t xml:space="preserve">the social, </w:t>
      </w:r>
      <w:r w:rsidR="00E01473" w:rsidRPr="005E0D89">
        <w:rPr>
          <w:rFonts w:eastAsia="Arial Unicode MS"/>
          <w:i/>
          <w:u w:color="000000"/>
        </w:rPr>
        <w:t>as well as</w:t>
      </w:r>
      <w:r w:rsidRPr="005E0D89">
        <w:rPr>
          <w:rFonts w:eastAsia="Arial Unicode MS"/>
          <w:i/>
          <w:u w:color="000000"/>
        </w:rPr>
        <w:t xml:space="preserve"> legal, lives of LGBT asylum seekers in the United States. Drawing on ethnographic and interview data collected at specialist NGOs, I argue that limited ideas about LGBT subjectivity often structure NGO workers’ attitudes and practices in ways that echo USCIS criteria for granting asylum. I demonstrate how NGO client selection and intake processes subtly yet effectively replicate existing adjudication norms</w:t>
      </w:r>
      <w:r w:rsidR="00CF426C">
        <w:rPr>
          <w:rFonts w:eastAsia="Arial Unicode MS"/>
          <w:i/>
          <w:u w:color="000000"/>
        </w:rPr>
        <w:t>, and prevailing ideas about LGBT subjectivity</w:t>
      </w:r>
      <w:r w:rsidRPr="005E0D89">
        <w:rPr>
          <w:rFonts w:eastAsia="Arial Unicode MS"/>
          <w:i/>
          <w:u w:color="000000"/>
        </w:rPr>
        <w:t xml:space="preserve">. Within ostensibly non-governmental spaces, LGBT asylum seekers experience suspicion, surveillance, and pressure to conform to NGO workers’ expectations of “credible” claimants. </w:t>
      </w:r>
      <w:r w:rsidR="00E01473" w:rsidRPr="005E0D89">
        <w:rPr>
          <w:rFonts w:eastAsia="Arial Unicode MS"/>
          <w:i/>
          <w:u w:color="000000"/>
        </w:rPr>
        <w:t>C</w:t>
      </w:r>
      <w:r w:rsidRPr="005E0D89">
        <w:rPr>
          <w:rFonts w:eastAsia="Arial Unicode MS"/>
          <w:i/>
          <w:u w:color="000000"/>
        </w:rPr>
        <w:t xml:space="preserve">ontrary to NGOs’ stated intentions, these processes extend, rather than challenge, existing barriers to asylum. </w:t>
      </w:r>
    </w:p>
    <w:p w14:paraId="0BCA6BAE" w14:textId="206B6302" w:rsidR="007350C3" w:rsidRDefault="007350C3" w:rsidP="005E0D89">
      <w:pPr>
        <w:pStyle w:val="PoLAR"/>
        <w:spacing w:line="276" w:lineRule="auto"/>
        <w:rPr>
          <w:rFonts w:eastAsia="Arial Unicode MS"/>
          <w:u w:color="000000"/>
        </w:rPr>
      </w:pPr>
      <w:r>
        <w:rPr>
          <w:rFonts w:eastAsia="Arial Unicode MS"/>
          <w:u w:color="000000"/>
        </w:rPr>
        <w:t>[asylum, NGOs, sexuality, United States</w:t>
      </w:r>
      <w:r w:rsidR="00062BAF">
        <w:rPr>
          <w:rFonts w:eastAsia="Arial Unicode MS"/>
          <w:u w:color="000000"/>
        </w:rPr>
        <w:t>, immigration</w:t>
      </w:r>
      <w:r>
        <w:rPr>
          <w:rFonts w:eastAsia="Arial Unicode MS"/>
          <w:u w:color="000000"/>
        </w:rPr>
        <w:t>]</w:t>
      </w:r>
      <w:r>
        <w:rPr>
          <w:rFonts w:eastAsia="Arial Unicode MS"/>
          <w:u w:color="000000"/>
        </w:rPr>
        <w:br w:type="page"/>
      </w:r>
    </w:p>
    <w:p w14:paraId="7B6F8AC5" w14:textId="77777777" w:rsidR="00F427DD" w:rsidRDefault="00F427DD" w:rsidP="007350C3">
      <w:pPr>
        <w:pStyle w:val="PoLAR"/>
        <w:spacing w:line="240" w:lineRule="auto"/>
        <w:jc w:val="center"/>
        <w:rPr>
          <w:b/>
        </w:rPr>
        <w:sectPr w:rsidR="00F427DD" w:rsidSect="005E0D89">
          <w:headerReference w:type="default" r:id="rId8"/>
          <w:footerReference w:type="even" r:id="rId9"/>
          <w:footerReference w:type="default" r:id="rId10"/>
          <w:footerReference w:type="first" r:id="rId11"/>
          <w:endnotePr>
            <w:numFmt w:val="decimal"/>
          </w:endnotePr>
          <w:pgSz w:w="12240" w:h="15840"/>
          <w:pgMar w:top="2160" w:right="2160" w:bottom="2160" w:left="2160" w:header="706" w:footer="706" w:gutter="0"/>
          <w:cols w:space="708"/>
          <w:docGrid w:linePitch="360"/>
        </w:sectPr>
      </w:pPr>
    </w:p>
    <w:p w14:paraId="3756E1E4" w14:textId="0882EE7F" w:rsidR="00715A3E" w:rsidRDefault="004C236C" w:rsidP="00B5047B">
      <w:pPr>
        <w:pStyle w:val="PoLAR"/>
        <w:rPr>
          <w:rFonts w:eastAsia="Arial Unicode MS"/>
          <w:u w:color="000000"/>
        </w:rPr>
      </w:pPr>
      <w:r>
        <w:rPr>
          <w:rFonts w:eastAsia="Arial Unicode MS"/>
          <w:u w:color="000000"/>
        </w:rPr>
        <w:lastRenderedPageBreak/>
        <w:t xml:space="preserve">From 1965 until 1990, </w:t>
      </w:r>
      <w:r w:rsidR="00FD779A" w:rsidRPr="009B1FB1">
        <w:rPr>
          <w:rFonts w:eastAsia="Arial Unicode MS"/>
          <w:u w:color="000000"/>
        </w:rPr>
        <w:t xml:space="preserve">U.S. </w:t>
      </w:r>
      <w:r w:rsidR="00BD40F0" w:rsidRPr="009B1FB1">
        <w:rPr>
          <w:rFonts w:eastAsia="Arial Unicode MS"/>
          <w:u w:color="000000"/>
        </w:rPr>
        <w:t>immigration policy</w:t>
      </w:r>
      <w:r>
        <w:rPr>
          <w:rFonts w:eastAsia="Arial Unicode MS"/>
          <w:u w:color="000000"/>
        </w:rPr>
        <w:t xml:space="preserve"> </w:t>
      </w:r>
      <w:r w:rsidRPr="009B1FB1">
        <w:rPr>
          <w:rFonts w:eastAsia="Arial Unicode MS"/>
          <w:u w:color="000000"/>
        </w:rPr>
        <w:t>explicitly excluded</w:t>
      </w:r>
      <w:r w:rsidR="00BD40F0" w:rsidRPr="009B1FB1">
        <w:rPr>
          <w:rFonts w:eastAsia="Arial Unicode MS"/>
          <w:u w:color="000000"/>
        </w:rPr>
        <w:t xml:space="preserve"> so-called “sexual deviates” from </w:t>
      </w:r>
      <w:r>
        <w:rPr>
          <w:rFonts w:eastAsia="Arial Unicode MS"/>
          <w:u w:color="000000"/>
        </w:rPr>
        <w:t>entering</w:t>
      </w:r>
      <w:r w:rsidR="00BD40F0" w:rsidRPr="009B1FB1">
        <w:rPr>
          <w:rFonts w:eastAsia="Arial Unicode MS"/>
          <w:u w:color="000000"/>
        </w:rPr>
        <w:t xml:space="preserve"> the United States. Since 1994, however, the United States has recognized sexual or gender minorities as </w:t>
      </w:r>
      <w:r w:rsidR="00FD779A" w:rsidRPr="009B1FB1">
        <w:rPr>
          <w:rFonts w:eastAsia="Arial Unicode MS"/>
          <w:u w:color="000000"/>
        </w:rPr>
        <w:t xml:space="preserve">members of </w:t>
      </w:r>
      <w:r w:rsidR="00BD40F0" w:rsidRPr="009B1FB1">
        <w:rPr>
          <w:rFonts w:eastAsia="Arial Unicode MS"/>
          <w:u w:color="000000"/>
        </w:rPr>
        <w:t>a potentially persecuted social group, eligible for asylum under</w:t>
      </w:r>
      <w:r w:rsidR="00FD779A" w:rsidRPr="009B1FB1">
        <w:rPr>
          <w:rFonts w:eastAsia="Arial Unicode MS"/>
          <w:u w:color="000000"/>
        </w:rPr>
        <w:t xml:space="preserve"> </w:t>
      </w:r>
      <w:r w:rsidR="00BD40F0" w:rsidRPr="009B1FB1">
        <w:rPr>
          <w:rFonts w:eastAsia="Arial Unicode MS"/>
          <w:u w:color="000000"/>
        </w:rPr>
        <w:t xml:space="preserve">immigration law. Over the past </w:t>
      </w:r>
      <w:r w:rsidR="00913B15">
        <w:rPr>
          <w:rFonts w:eastAsia="Arial Unicode MS"/>
          <w:u w:color="000000"/>
        </w:rPr>
        <w:t>decade</w:t>
      </w:r>
      <w:r w:rsidR="00BD40F0" w:rsidRPr="009B1FB1">
        <w:rPr>
          <w:rFonts w:eastAsia="Arial Unicode MS"/>
          <w:u w:color="000000"/>
        </w:rPr>
        <w:t xml:space="preserve">, </w:t>
      </w:r>
      <w:r w:rsidR="00A2294D">
        <w:rPr>
          <w:rFonts w:eastAsia="Arial Unicode MS"/>
          <w:u w:color="000000"/>
        </w:rPr>
        <w:t xml:space="preserve">a small but notable number of </w:t>
      </w:r>
      <w:r w:rsidR="00BD40F0" w:rsidRPr="009B1FB1">
        <w:rPr>
          <w:rFonts w:eastAsia="Arial Unicode MS"/>
          <w:u w:color="000000"/>
        </w:rPr>
        <w:t>scholars have engaged critically with</w:t>
      </w:r>
      <w:r w:rsidR="00FD779A" w:rsidRPr="009B1FB1">
        <w:rPr>
          <w:rFonts w:eastAsia="Arial Unicode MS"/>
          <w:u w:color="000000"/>
        </w:rPr>
        <w:t xml:space="preserve"> U.S. </w:t>
      </w:r>
      <w:r w:rsidR="00BD40F0" w:rsidRPr="009B1FB1">
        <w:rPr>
          <w:rFonts w:eastAsia="Arial Unicode MS"/>
          <w:u w:color="000000"/>
        </w:rPr>
        <w:t xml:space="preserve">asylum policy and procedures as it pertains to </w:t>
      </w:r>
      <w:r w:rsidR="00B5047B">
        <w:rPr>
          <w:rFonts w:eastAsia="Arial Unicode MS"/>
          <w:u w:color="000000"/>
        </w:rPr>
        <w:t>such</w:t>
      </w:r>
      <w:r w:rsidR="004209A5">
        <w:rPr>
          <w:rFonts w:eastAsia="Arial Unicode MS"/>
          <w:u w:color="000000"/>
        </w:rPr>
        <w:t xml:space="preserve"> </w:t>
      </w:r>
      <w:r w:rsidR="00BD40F0" w:rsidRPr="009B1FB1">
        <w:rPr>
          <w:rFonts w:eastAsia="Arial Unicode MS"/>
          <w:u w:color="000000"/>
        </w:rPr>
        <w:t>cases</w:t>
      </w:r>
      <w:r w:rsidR="004721AC">
        <w:rPr>
          <w:rFonts w:eastAsia="Arial Unicode MS"/>
          <w:u w:color="000000"/>
        </w:rPr>
        <w:t xml:space="preserve"> (cf</w:t>
      </w:r>
      <w:r w:rsidR="00380AAD">
        <w:rPr>
          <w:rFonts w:eastAsia="Arial Unicode MS"/>
          <w:u w:color="000000"/>
        </w:rPr>
        <w:t>.</w:t>
      </w:r>
      <w:r w:rsidR="004721AC">
        <w:rPr>
          <w:rFonts w:eastAsia="Arial Unicode MS"/>
          <w:u w:color="000000"/>
        </w:rPr>
        <w:t xml:space="preserve"> </w:t>
      </w:r>
      <w:r w:rsidR="00225F69">
        <w:rPr>
          <w:rFonts w:eastAsia="Arial Unicode MS"/>
          <w:u w:color="000000"/>
        </w:rPr>
        <w:t>Morgan 2006;</w:t>
      </w:r>
      <w:r w:rsidR="004721AC">
        <w:rPr>
          <w:rFonts w:eastAsia="Arial Unicode MS"/>
          <w:u w:color="000000"/>
        </w:rPr>
        <w:t xml:space="preserve"> </w:t>
      </w:r>
      <w:r w:rsidR="00D4099A">
        <w:rPr>
          <w:rFonts w:eastAsia="Arial Unicode MS"/>
          <w:u w:color="000000"/>
        </w:rPr>
        <w:t xml:space="preserve">Berger 2009; </w:t>
      </w:r>
      <w:r w:rsidR="00913B15">
        <w:rPr>
          <w:rFonts w:eastAsia="Arial Unicode MS"/>
          <w:u w:color="000000"/>
        </w:rPr>
        <w:t>Lewis 2013</w:t>
      </w:r>
      <w:r w:rsidR="004721AC">
        <w:rPr>
          <w:rFonts w:eastAsia="Arial Unicode MS"/>
          <w:u w:color="000000"/>
        </w:rPr>
        <w:t>).</w:t>
      </w:r>
      <w:r w:rsidR="00E8070D">
        <w:rPr>
          <w:rFonts w:cs="Times New Roman"/>
        </w:rPr>
        <w:t xml:space="preserve"> </w:t>
      </w:r>
      <w:r w:rsidR="00BD40F0" w:rsidRPr="009B1FB1">
        <w:rPr>
          <w:rFonts w:eastAsia="Arial Unicode MS"/>
          <w:u w:color="000000"/>
        </w:rPr>
        <w:t xml:space="preserve">Kimmel and Llewellyn (2012) conclude that a “gay enough” litmus test typifies </w:t>
      </w:r>
      <w:r w:rsidR="00380AAD" w:rsidRPr="00634A6A">
        <w:rPr>
          <w:rFonts w:cs="Times New Roman"/>
        </w:rPr>
        <w:t xml:space="preserve">lesbian, gay, </w:t>
      </w:r>
      <w:r w:rsidR="00380AAD">
        <w:rPr>
          <w:rFonts w:cs="Times New Roman"/>
        </w:rPr>
        <w:t>bisexual, or trans</w:t>
      </w:r>
      <w:r w:rsidR="00380AAD" w:rsidRPr="009B1FB1">
        <w:rPr>
          <w:rFonts w:eastAsia="Arial Unicode MS"/>
          <w:u w:color="000000"/>
        </w:rPr>
        <w:t xml:space="preserve"> </w:t>
      </w:r>
      <w:r w:rsidR="00380AAD">
        <w:rPr>
          <w:rFonts w:eastAsia="Arial Unicode MS"/>
          <w:u w:color="000000"/>
        </w:rPr>
        <w:t>(</w:t>
      </w:r>
      <w:r w:rsidR="00BD40F0" w:rsidRPr="009B1FB1">
        <w:rPr>
          <w:rFonts w:eastAsia="Arial Unicode MS"/>
          <w:u w:color="000000"/>
        </w:rPr>
        <w:t>LGBT</w:t>
      </w:r>
      <w:r w:rsidR="00380AAD">
        <w:rPr>
          <w:rFonts w:eastAsia="Arial Unicode MS"/>
          <w:u w:color="000000"/>
        </w:rPr>
        <w:t>)</w:t>
      </w:r>
      <w:r w:rsidR="00BD40F0" w:rsidRPr="009B1FB1">
        <w:rPr>
          <w:rFonts w:eastAsia="Arial Unicode MS"/>
          <w:u w:color="000000"/>
        </w:rPr>
        <w:t xml:space="preserve"> asylum adjudication, </w:t>
      </w:r>
      <w:r w:rsidR="00476431">
        <w:rPr>
          <w:rFonts w:eastAsia="Arial Unicode MS"/>
          <w:u w:color="000000"/>
        </w:rPr>
        <w:t>such that interviewing officers expect claimants to engage in</w:t>
      </w:r>
      <w:r w:rsidR="00BD40F0" w:rsidRPr="009B1FB1">
        <w:rPr>
          <w:rFonts w:eastAsia="Arial Unicode MS"/>
          <w:u w:color="000000"/>
        </w:rPr>
        <w:t xml:space="preserve"> conspicuous consumption of mainstream LGBT commodities and culture—from films and magazines to nightclubs and community centers—</w:t>
      </w:r>
      <w:r w:rsidR="00476431">
        <w:rPr>
          <w:rFonts w:eastAsia="Arial Unicode MS"/>
          <w:u w:color="000000"/>
        </w:rPr>
        <w:t>and to display</w:t>
      </w:r>
      <w:r w:rsidR="00BD40F0" w:rsidRPr="009B1FB1">
        <w:rPr>
          <w:rFonts w:eastAsia="Arial Unicode MS"/>
          <w:u w:color="000000"/>
        </w:rPr>
        <w:t xml:space="preserve"> visible evidence of LGBT identity, such as being publicly “out,” or adopting a gender non-conforming appearance (</w:t>
      </w:r>
      <w:r w:rsidR="00225F69">
        <w:rPr>
          <w:rFonts w:eastAsia="Arial Unicode MS"/>
          <w:u w:color="000000"/>
        </w:rPr>
        <w:t>Berger 2009</w:t>
      </w:r>
      <w:r w:rsidR="00913B15">
        <w:rPr>
          <w:rFonts w:eastAsia="Arial Unicode MS"/>
          <w:u w:color="000000"/>
        </w:rPr>
        <w:t xml:space="preserve">; </w:t>
      </w:r>
      <w:r w:rsidR="004721AC">
        <w:rPr>
          <w:rFonts w:eastAsia="Arial Unicode MS"/>
          <w:u w:color="000000"/>
        </w:rPr>
        <w:t>Murray 2016</w:t>
      </w:r>
      <w:r w:rsidR="00BD40F0" w:rsidRPr="009B1FB1">
        <w:rPr>
          <w:rFonts w:eastAsia="Arial Unicode MS"/>
          <w:u w:color="000000"/>
        </w:rPr>
        <w:t>). These expectations are coupled with the general requirement</w:t>
      </w:r>
      <w:r w:rsidR="004209A5">
        <w:rPr>
          <w:rFonts w:eastAsia="Arial Unicode MS"/>
          <w:u w:color="000000"/>
        </w:rPr>
        <w:t>s</w:t>
      </w:r>
      <w:r w:rsidR="00BD40F0" w:rsidRPr="009B1FB1">
        <w:rPr>
          <w:rFonts w:eastAsia="Arial Unicode MS"/>
          <w:u w:color="000000"/>
        </w:rPr>
        <w:t xml:space="preserve"> </w:t>
      </w:r>
      <w:r w:rsidR="001B3E0D">
        <w:rPr>
          <w:rFonts w:eastAsia="Arial Unicode MS"/>
          <w:u w:color="000000"/>
        </w:rPr>
        <w:t>of all</w:t>
      </w:r>
      <w:r w:rsidR="00BD40F0" w:rsidRPr="009B1FB1">
        <w:rPr>
          <w:rFonts w:eastAsia="Arial Unicode MS"/>
          <w:u w:color="000000"/>
        </w:rPr>
        <w:t xml:space="preserve"> asylum seekers </w:t>
      </w:r>
      <w:r w:rsidR="001B3E0D">
        <w:rPr>
          <w:rFonts w:eastAsia="Arial Unicode MS"/>
          <w:u w:color="000000"/>
        </w:rPr>
        <w:t xml:space="preserve">to </w:t>
      </w:r>
      <w:r w:rsidR="00BD40F0" w:rsidRPr="009B1FB1">
        <w:rPr>
          <w:rFonts w:eastAsia="Arial Unicode MS"/>
          <w:u w:color="000000"/>
        </w:rPr>
        <w:t>demonstrate sound character,</w:t>
      </w:r>
      <w:r>
        <w:rPr>
          <w:rFonts w:eastAsia="Arial Unicode MS"/>
          <w:u w:color="000000"/>
        </w:rPr>
        <w:t xml:space="preserve"> </w:t>
      </w:r>
      <w:r w:rsidR="001B3E0D">
        <w:rPr>
          <w:rFonts w:eastAsia="Arial Unicode MS"/>
          <w:u w:color="000000"/>
        </w:rPr>
        <w:t xml:space="preserve">have a clean </w:t>
      </w:r>
      <w:r>
        <w:rPr>
          <w:rFonts w:eastAsia="Arial Unicode MS"/>
          <w:u w:color="000000"/>
        </w:rPr>
        <w:t>record, and</w:t>
      </w:r>
      <w:r w:rsidR="001B3E0D">
        <w:rPr>
          <w:rFonts w:eastAsia="Arial Unicode MS"/>
          <w:u w:color="000000"/>
        </w:rPr>
        <w:t xml:space="preserve"> provide</w:t>
      </w:r>
      <w:r w:rsidR="00BD40F0" w:rsidRPr="009B1FB1">
        <w:rPr>
          <w:rFonts w:eastAsia="Arial Unicode MS"/>
          <w:u w:color="000000"/>
        </w:rPr>
        <w:t xml:space="preserve"> </w:t>
      </w:r>
      <w:r w:rsidR="001B3E0D">
        <w:rPr>
          <w:rFonts w:eastAsia="Arial Unicode MS"/>
          <w:u w:color="000000"/>
        </w:rPr>
        <w:t>“</w:t>
      </w:r>
      <w:r w:rsidR="00BD40F0" w:rsidRPr="009B1FB1">
        <w:rPr>
          <w:rFonts w:eastAsia="Arial Unicode MS"/>
          <w:u w:color="000000"/>
        </w:rPr>
        <w:t>compelling evidence</w:t>
      </w:r>
      <w:r w:rsidR="001B3E0D">
        <w:rPr>
          <w:rFonts w:eastAsia="Arial Unicode MS"/>
          <w:u w:color="000000"/>
        </w:rPr>
        <w:t>”</w:t>
      </w:r>
      <w:r w:rsidR="00BD40F0" w:rsidRPr="009B1FB1">
        <w:rPr>
          <w:rFonts w:eastAsia="Arial Unicode MS"/>
          <w:u w:color="000000"/>
        </w:rPr>
        <w:t xml:space="preserve"> in support of their claim (USCIS 2011).</w:t>
      </w:r>
      <w:r w:rsidR="00B5047B">
        <w:rPr>
          <w:rFonts w:eastAsia="Arial Unicode MS"/>
          <w:u w:color="000000"/>
        </w:rPr>
        <w:t xml:space="preserve"> </w:t>
      </w:r>
    </w:p>
    <w:p w14:paraId="427C0A0D" w14:textId="0B4C4F37" w:rsidR="00A2685E" w:rsidRPr="00B5047B" w:rsidRDefault="00BD40F0" w:rsidP="00B5047B">
      <w:pPr>
        <w:pStyle w:val="PoLAR"/>
        <w:rPr>
          <w:rFonts w:eastAsia="Arial Unicode MS"/>
          <w:u w:color="000000"/>
        </w:rPr>
      </w:pPr>
      <w:r w:rsidRPr="009B1FB1">
        <w:rPr>
          <w:rFonts w:eastAsia="Arial Unicode MS"/>
          <w:u w:color="000000"/>
        </w:rPr>
        <w:t>The exem</w:t>
      </w:r>
      <w:r w:rsidR="00A2685E" w:rsidRPr="009B1FB1">
        <w:rPr>
          <w:rFonts w:eastAsia="Arial Unicode MS"/>
          <w:u w:color="000000"/>
        </w:rPr>
        <w:t>plary LGBT asylum seeker</w:t>
      </w:r>
      <w:r w:rsidR="004C236C">
        <w:rPr>
          <w:rFonts w:eastAsia="Arial Unicode MS"/>
          <w:u w:color="000000"/>
        </w:rPr>
        <w:t xml:space="preserve"> in many ways mirrors the</w:t>
      </w:r>
      <w:r w:rsidR="00CD6142">
        <w:rPr>
          <w:rFonts w:eastAsia="Arial Unicode MS"/>
          <w:u w:color="000000"/>
        </w:rPr>
        <w:t xml:space="preserve"> </w:t>
      </w:r>
      <w:r w:rsidR="004C236C" w:rsidRPr="009B1FB1">
        <w:rPr>
          <w:rFonts w:eastAsia="Arial Unicode MS"/>
          <w:u w:color="000000"/>
        </w:rPr>
        <w:t>productive, domesticated, and depoliticized consumer that Lisa Duggan</w:t>
      </w:r>
      <w:r w:rsidR="004C236C">
        <w:rPr>
          <w:rFonts w:eastAsia="Arial Unicode MS"/>
          <w:u w:color="000000"/>
        </w:rPr>
        <w:t xml:space="preserve"> (2002)</w:t>
      </w:r>
      <w:r w:rsidR="004C236C" w:rsidRPr="009B1FB1">
        <w:rPr>
          <w:rFonts w:eastAsia="Arial Unicode MS"/>
          <w:u w:color="000000"/>
        </w:rPr>
        <w:t xml:space="preserve"> identifies as the now-acceptable face of </w:t>
      </w:r>
      <w:r w:rsidR="004C236C">
        <w:rPr>
          <w:rFonts w:eastAsia="Arial Unicode MS"/>
          <w:u w:color="000000"/>
        </w:rPr>
        <w:t xml:space="preserve">“homonormative” </w:t>
      </w:r>
      <w:r w:rsidR="004C236C" w:rsidRPr="009B1FB1">
        <w:rPr>
          <w:rFonts w:eastAsia="Arial Unicode MS"/>
          <w:u w:color="000000"/>
        </w:rPr>
        <w:t>LGBT subjectivity in the United States</w:t>
      </w:r>
      <w:r w:rsidR="004C236C">
        <w:rPr>
          <w:rFonts w:eastAsia="Arial Unicode MS"/>
          <w:u w:color="000000"/>
        </w:rPr>
        <w:t xml:space="preserve">, or the </w:t>
      </w:r>
      <w:r w:rsidR="004C236C" w:rsidRPr="009B1FB1">
        <w:rPr>
          <w:rFonts w:eastAsia="Arial Unicode MS"/>
          <w:u w:color="000000"/>
        </w:rPr>
        <w:t>“good gay citizen”</w:t>
      </w:r>
      <w:r w:rsidR="004C236C">
        <w:rPr>
          <w:rFonts w:eastAsia="Arial Unicode MS"/>
          <w:u w:color="000000"/>
        </w:rPr>
        <w:t xml:space="preserve"> </w:t>
      </w:r>
      <w:r w:rsidR="00CD6142">
        <w:rPr>
          <w:rFonts w:eastAsia="Arial Unicode MS"/>
          <w:u w:color="000000"/>
        </w:rPr>
        <w:t>(</w:t>
      </w:r>
      <w:r w:rsidR="00DC70BB">
        <w:rPr>
          <w:rFonts w:eastAsia="Arial Unicode MS"/>
          <w:u w:color="000000"/>
        </w:rPr>
        <w:t>Bell and Binnie 2000;</w:t>
      </w:r>
      <w:r w:rsidR="00CD6142" w:rsidRPr="00CD6142">
        <w:rPr>
          <w:rFonts w:eastAsia="Arial Unicode MS"/>
          <w:u w:color="000000"/>
        </w:rPr>
        <w:t xml:space="preserve"> Stychin 2004</w:t>
      </w:r>
      <w:r w:rsidR="00CD6142">
        <w:rPr>
          <w:rFonts w:eastAsia="Arial Unicode MS"/>
          <w:u w:color="000000"/>
        </w:rPr>
        <w:t>)</w:t>
      </w:r>
      <w:r w:rsidRPr="009B1FB1">
        <w:rPr>
          <w:rFonts w:eastAsia="Arial Unicode MS"/>
          <w:u w:color="000000"/>
        </w:rPr>
        <w:t xml:space="preserve">. </w:t>
      </w:r>
      <w:r w:rsidR="004C236C">
        <w:rPr>
          <w:rFonts w:eastAsia="Arial Unicode MS"/>
          <w:u w:color="000000"/>
        </w:rPr>
        <w:t>As such</w:t>
      </w:r>
      <w:r w:rsidRPr="009B1FB1">
        <w:rPr>
          <w:rFonts w:eastAsia="Arial Unicode MS"/>
          <w:u w:color="000000"/>
        </w:rPr>
        <w:t xml:space="preserve">, </w:t>
      </w:r>
      <w:r w:rsidRPr="009B1FB1">
        <w:rPr>
          <w:rFonts w:eastAsia="Arial Unicode MS"/>
          <w:u w:color="000000"/>
        </w:rPr>
        <w:lastRenderedPageBreak/>
        <w:t>official measures to exclude “sexual deviates” fr</w:t>
      </w:r>
      <w:r w:rsidR="000C5BDD" w:rsidRPr="009B1FB1">
        <w:rPr>
          <w:rFonts w:eastAsia="Arial Unicode MS"/>
          <w:u w:color="000000"/>
        </w:rPr>
        <w:t>om entering the</w:t>
      </w:r>
      <w:r w:rsidR="00FD779A" w:rsidRPr="009B1FB1">
        <w:rPr>
          <w:rFonts w:eastAsia="Arial Unicode MS"/>
          <w:u w:color="000000"/>
        </w:rPr>
        <w:t xml:space="preserve"> U.S. </w:t>
      </w:r>
      <w:r w:rsidR="00225F69">
        <w:rPr>
          <w:rFonts w:eastAsia="Arial Unicode MS"/>
          <w:u w:color="000000"/>
        </w:rPr>
        <w:t>may be read as having</w:t>
      </w:r>
      <w:r w:rsidR="000C5BDD" w:rsidRPr="009B1FB1">
        <w:rPr>
          <w:rFonts w:eastAsia="Arial Unicode MS"/>
          <w:u w:color="000000"/>
        </w:rPr>
        <w:t xml:space="preserve"> evolved</w:t>
      </w:r>
      <w:r w:rsidRPr="009B1FB1">
        <w:rPr>
          <w:rFonts w:eastAsia="Arial Unicode MS"/>
          <w:u w:color="000000"/>
        </w:rPr>
        <w:t xml:space="preserve"> rather than abated, </w:t>
      </w:r>
      <w:r w:rsidR="00225F69">
        <w:rPr>
          <w:rFonts w:eastAsia="Arial Unicode MS"/>
          <w:u w:color="000000"/>
        </w:rPr>
        <w:t>with</w:t>
      </w:r>
      <w:r w:rsidRPr="009B1FB1">
        <w:rPr>
          <w:rFonts w:eastAsia="Arial Unicode MS"/>
          <w:u w:color="000000"/>
        </w:rPr>
        <w:t xml:space="preserve"> LGBT asylum adjudication </w:t>
      </w:r>
      <w:r w:rsidR="00225F69">
        <w:rPr>
          <w:rFonts w:eastAsia="Arial Unicode MS"/>
          <w:u w:color="000000"/>
        </w:rPr>
        <w:t xml:space="preserve">understood </w:t>
      </w:r>
      <w:r w:rsidRPr="009B1FB1">
        <w:rPr>
          <w:rFonts w:eastAsia="Arial Unicode MS"/>
          <w:u w:color="000000"/>
        </w:rPr>
        <w:t>as a strategy of containment, or selective allowance</w:t>
      </w:r>
      <w:r w:rsidR="00225F69">
        <w:rPr>
          <w:rFonts w:eastAsia="Arial Unicode MS"/>
          <w:u w:color="000000"/>
        </w:rPr>
        <w:t>.</w:t>
      </w:r>
    </w:p>
    <w:p w14:paraId="372AF89D" w14:textId="2E358135" w:rsidR="00FD779A" w:rsidRPr="006C7763" w:rsidRDefault="00A2685E" w:rsidP="00B5047B">
      <w:pPr>
        <w:pStyle w:val="PoLAR"/>
        <w:rPr>
          <w:rFonts w:eastAsia="Arial Unicode MS"/>
          <w:u w:color="000000"/>
        </w:rPr>
      </w:pPr>
      <w:r w:rsidRPr="009B1FB1">
        <w:t xml:space="preserve">In this paper, I </w:t>
      </w:r>
      <w:r w:rsidR="00B35594">
        <w:t>focus</w:t>
      </w:r>
      <w:r w:rsidRPr="009B1FB1">
        <w:rPr>
          <w:rFonts w:eastAsia="Arial Unicode MS"/>
          <w:u w:color="000000"/>
        </w:rPr>
        <w:t xml:space="preserve"> </w:t>
      </w:r>
      <w:r w:rsidR="00B35594">
        <w:rPr>
          <w:rFonts w:eastAsia="Arial Unicode MS"/>
          <w:u w:color="000000"/>
        </w:rPr>
        <w:t xml:space="preserve">on </w:t>
      </w:r>
      <w:r w:rsidRPr="009B1FB1">
        <w:rPr>
          <w:rFonts w:eastAsia="Arial Unicode MS"/>
          <w:u w:color="000000"/>
        </w:rPr>
        <w:t xml:space="preserve">specialist non-governmental organizations (NGOs) </w:t>
      </w:r>
      <w:r w:rsidR="004209A5">
        <w:rPr>
          <w:rFonts w:eastAsia="Arial Unicode MS"/>
          <w:u w:color="000000"/>
        </w:rPr>
        <w:t>providing services</w:t>
      </w:r>
      <w:r w:rsidRPr="009B1FB1">
        <w:rPr>
          <w:rFonts w:eastAsia="Arial Unicode MS"/>
          <w:u w:color="000000"/>
        </w:rPr>
        <w:t xml:space="preserve"> </w:t>
      </w:r>
      <w:r w:rsidR="004209A5">
        <w:rPr>
          <w:rFonts w:eastAsia="Arial Unicode MS"/>
          <w:u w:color="000000"/>
        </w:rPr>
        <w:t>to</w:t>
      </w:r>
      <w:r w:rsidRPr="009B1FB1">
        <w:rPr>
          <w:rFonts w:eastAsia="Arial Unicode MS"/>
          <w:u w:color="000000"/>
        </w:rPr>
        <w:t xml:space="preserve"> LGBT asylum seekers</w:t>
      </w:r>
      <w:r w:rsidR="00B5047B">
        <w:rPr>
          <w:rFonts w:eastAsia="Arial Unicode MS"/>
          <w:u w:color="000000"/>
        </w:rPr>
        <w:t xml:space="preserve"> in the United States, and consider how</w:t>
      </w:r>
      <w:r w:rsidRPr="009B1FB1">
        <w:rPr>
          <w:rFonts w:eastAsia="Arial Unicode MS"/>
          <w:u w:color="000000"/>
        </w:rPr>
        <w:t xml:space="preserve"> such groups</w:t>
      </w:r>
      <w:r w:rsidR="00E60897">
        <w:rPr>
          <w:rFonts w:eastAsia="Arial Unicode MS"/>
          <w:u w:color="000000"/>
        </w:rPr>
        <w:t xml:space="preserve"> </w:t>
      </w:r>
      <w:r w:rsidRPr="009B1FB1">
        <w:rPr>
          <w:rFonts w:eastAsia="Arial Unicode MS"/>
          <w:u w:color="000000"/>
        </w:rPr>
        <w:t xml:space="preserve">contest, echo, or extend governmental logics about who </w:t>
      </w:r>
      <w:r w:rsidR="0039195F">
        <w:rPr>
          <w:rFonts w:eastAsia="Arial Unicode MS"/>
          <w:u w:color="000000"/>
        </w:rPr>
        <w:t xml:space="preserve">should </w:t>
      </w:r>
      <w:r w:rsidRPr="009B1FB1">
        <w:rPr>
          <w:rFonts w:eastAsia="Arial Unicode MS"/>
          <w:u w:color="000000"/>
        </w:rPr>
        <w:t xml:space="preserve">be granted asylum in the United States. </w:t>
      </w:r>
      <w:r w:rsidR="00B5047B">
        <w:rPr>
          <w:rFonts w:eastAsia="Arial Unicode MS"/>
          <w:u w:color="000000"/>
        </w:rPr>
        <w:t xml:space="preserve">First, </w:t>
      </w:r>
      <w:r w:rsidRPr="009B1FB1">
        <w:rPr>
          <w:rFonts w:eastAsia="Arial Unicode MS"/>
          <w:u w:color="000000"/>
        </w:rPr>
        <w:t xml:space="preserve">I address </w:t>
      </w:r>
      <w:r w:rsidR="00E01473">
        <w:rPr>
          <w:rFonts w:eastAsia="Arial Unicode MS"/>
          <w:u w:color="000000"/>
        </w:rPr>
        <w:t>pro bono attorneys’</w:t>
      </w:r>
      <w:r w:rsidRPr="009B1FB1">
        <w:rPr>
          <w:rFonts w:eastAsia="Arial Unicode MS"/>
          <w:u w:color="000000"/>
        </w:rPr>
        <w:t xml:space="preserve"> client selection criteria and intake processes, noting which people are granted access t</w:t>
      </w:r>
      <w:r w:rsidR="00E60897">
        <w:rPr>
          <w:rFonts w:eastAsia="Arial Unicode MS"/>
          <w:u w:color="000000"/>
        </w:rPr>
        <w:t>o services, and on what basis</w:t>
      </w:r>
      <w:r w:rsidR="00B5047B">
        <w:rPr>
          <w:rFonts w:eastAsia="Arial Unicode MS"/>
          <w:u w:color="000000"/>
        </w:rPr>
        <w:t>. Second</w:t>
      </w:r>
      <w:r w:rsidR="00B5047B" w:rsidRPr="00B35594">
        <w:rPr>
          <w:rFonts w:eastAsia="Arial Unicode MS"/>
          <w:u w:color="000000"/>
        </w:rPr>
        <w:t xml:space="preserve">, I </w:t>
      </w:r>
      <w:r w:rsidR="006C7763">
        <w:rPr>
          <w:rFonts w:eastAsia="Arial Unicode MS"/>
          <w:u w:color="000000"/>
        </w:rPr>
        <w:t>discuss</w:t>
      </w:r>
      <w:r w:rsidR="00B5047B" w:rsidRPr="00B35594">
        <w:rPr>
          <w:rFonts w:eastAsia="Arial Unicode MS"/>
          <w:u w:color="000000"/>
        </w:rPr>
        <w:t xml:space="preserve"> </w:t>
      </w:r>
      <w:r w:rsidR="00D2029F" w:rsidRPr="00B35594">
        <w:rPr>
          <w:rFonts w:eastAsia="Arial Unicode MS"/>
          <w:u w:color="000000"/>
        </w:rPr>
        <w:t xml:space="preserve">how staff at </w:t>
      </w:r>
      <w:r w:rsidR="00B35594">
        <w:rPr>
          <w:rFonts w:eastAsia="Arial Unicode MS"/>
          <w:u w:color="000000"/>
        </w:rPr>
        <w:t xml:space="preserve">social service </w:t>
      </w:r>
      <w:r w:rsidR="00D2029F" w:rsidRPr="00B35594">
        <w:rPr>
          <w:rFonts w:eastAsia="Arial Unicode MS"/>
          <w:u w:color="000000"/>
        </w:rPr>
        <w:t xml:space="preserve">NGOs </w:t>
      </w:r>
      <w:r w:rsidR="00B35594">
        <w:rPr>
          <w:rFonts w:eastAsia="Arial Unicode MS"/>
          <w:u w:color="000000"/>
        </w:rPr>
        <w:t>regard and treat clients</w:t>
      </w:r>
      <w:r w:rsidR="002D4697">
        <w:rPr>
          <w:rFonts w:eastAsia="Arial Unicode MS"/>
          <w:u w:color="000000"/>
        </w:rPr>
        <w:t>,</w:t>
      </w:r>
      <w:r w:rsidR="006C7763">
        <w:rPr>
          <w:rFonts w:eastAsia="Arial Unicode MS"/>
          <w:u w:color="000000"/>
        </w:rPr>
        <w:t xml:space="preserve"> </w:t>
      </w:r>
      <w:r w:rsidR="002D4697">
        <w:rPr>
          <w:rFonts w:eastAsia="Arial Unicode MS"/>
          <w:u w:color="000000"/>
        </w:rPr>
        <w:t>following their</w:t>
      </w:r>
      <w:r w:rsidR="006C7763">
        <w:rPr>
          <w:rFonts w:eastAsia="Arial Unicode MS"/>
          <w:u w:color="000000"/>
        </w:rPr>
        <w:t xml:space="preserve"> own ideas about “credible” </w:t>
      </w:r>
      <w:r w:rsidR="002D4697">
        <w:rPr>
          <w:rFonts w:eastAsia="Arial Unicode MS"/>
          <w:u w:color="000000"/>
        </w:rPr>
        <w:t xml:space="preserve">LGBT </w:t>
      </w:r>
      <w:r w:rsidR="006C7763">
        <w:rPr>
          <w:rFonts w:eastAsia="Arial Unicode MS"/>
          <w:u w:color="000000"/>
        </w:rPr>
        <w:t>cases</w:t>
      </w:r>
      <w:r w:rsidR="00B35594">
        <w:rPr>
          <w:rFonts w:eastAsia="Arial Unicode MS"/>
          <w:u w:color="000000"/>
        </w:rPr>
        <w:t>.</w:t>
      </w:r>
      <w:r w:rsidRPr="00B35594">
        <w:rPr>
          <w:rFonts w:eastAsia="Arial Unicode MS"/>
          <w:u w:color="000000"/>
        </w:rPr>
        <w:t xml:space="preserve"> </w:t>
      </w:r>
      <w:r w:rsidR="002D4697">
        <w:rPr>
          <w:rFonts w:eastAsia="Arial Unicode MS"/>
          <w:u w:color="000000"/>
        </w:rPr>
        <w:t>Throughout</w:t>
      </w:r>
      <w:r w:rsidR="003445C6" w:rsidRPr="00B35594">
        <w:t xml:space="preserve">, I </w:t>
      </w:r>
      <w:r w:rsidR="00B35594">
        <w:t>use</w:t>
      </w:r>
      <w:r w:rsidR="003445C6" w:rsidRPr="00B35594">
        <w:t xml:space="preserve"> close reading</w:t>
      </w:r>
      <w:r w:rsidR="00893E34" w:rsidRPr="00B35594">
        <w:t>s</w:t>
      </w:r>
      <w:r w:rsidR="003445C6" w:rsidRPr="00B35594">
        <w:t xml:space="preserve"> of interviews to parse out pro bono attorneys’ and NGO staff’s ideological assumptions and stated motivations for their work</w:t>
      </w:r>
      <w:r w:rsidR="006C7763">
        <w:t>, and</w:t>
      </w:r>
      <w:r w:rsidR="003445C6" w:rsidRPr="00B35594">
        <w:t xml:space="preserve"> </w:t>
      </w:r>
      <w:r w:rsidR="002D4697">
        <w:t xml:space="preserve">to </w:t>
      </w:r>
      <w:r w:rsidR="003445C6" w:rsidRPr="00B35594">
        <w:t xml:space="preserve">consider </w:t>
      </w:r>
      <w:r w:rsidR="006C7763">
        <w:t>their</w:t>
      </w:r>
      <w:r w:rsidR="003445C6" w:rsidRPr="00B35594">
        <w:t xml:space="preserve"> </w:t>
      </w:r>
      <w:r w:rsidR="006C7763">
        <w:t>perspectives</w:t>
      </w:r>
      <w:r w:rsidR="003445C6" w:rsidRPr="00B35594">
        <w:t xml:space="preserve"> in relation to my asylum seeker </w:t>
      </w:r>
      <w:r w:rsidR="003445C6" w:rsidRPr="006C7763">
        <w:t>and asyle</w:t>
      </w:r>
      <w:r w:rsidR="008D2A44">
        <w:t xml:space="preserve">e (a person </w:t>
      </w:r>
      <w:r w:rsidR="008D2A44" w:rsidRPr="00634A6A">
        <w:t>who has been granted asylum</w:t>
      </w:r>
      <w:r w:rsidR="008D2A44">
        <w:t>)</w:t>
      </w:r>
      <w:r w:rsidR="003445C6" w:rsidRPr="006C7763">
        <w:t xml:space="preserve"> interlocutors’ </w:t>
      </w:r>
      <w:r w:rsidR="007777E5" w:rsidRPr="006C7763">
        <w:t xml:space="preserve">lived </w:t>
      </w:r>
      <w:r w:rsidR="003445C6" w:rsidRPr="006C7763">
        <w:t>experiences</w:t>
      </w:r>
      <w:r w:rsidR="006C7763">
        <w:t>.</w:t>
      </w:r>
      <w:r w:rsidR="006C7763">
        <w:rPr>
          <w:rFonts w:eastAsia="Arial Unicode MS"/>
          <w:u w:color="000000"/>
        </w:rPr>
        <w:t xml:space="preserve"> In doing so, </w:t>
      </w:r>
      <w:r w:rsidR="00E01473">
        <w:rPr>
          <w:rFonts w:eastAsia="Arial Unicode MS"/>
          <w:u w:color="000000"/>
        </w:rPr>
        <w:t xml:space="preserve">I </w:t>
      </w:r>
      <w:r w:rsidR="006C7763">
        <w:rPr>
          <w:rFonts w:eastAsia="Arial Unicode MS"/>
          <w:u w:color="000000"/>
        </w:rPr>
        <w:t>show</w:t>
      </w:r>
      <w:r w:rsidR="00E60897">
        <w:rPr>
          <w:rFonts w:eastAsia="Arial Unicode MS"/>
          <w:u w:color="000000"/>
        </w:rPr>
        <w:t xml:space="preserve"> how </w:t>
      </w:r>
      <w:r w:rsidR="006C7763">
        <w:rPr>
          <w:rFonts w:eastAsia="Arial Unicode MS"/>
          <w:u w:color="000000"/>
        </w:rPr>
        <w:t>discourses about LGBT asylum</w:t>
      </w:r>
      <w:r w:rsidR="002D4697">
        <w:rPr>
          <w:rFonts w:eastAsia="Arial Unicode MS"/>
          <w:u w:color="000000"/>
        </w:rPr>
        <w:t xml:space="preserve"> seekers that circulate between and are reproduced within</w:t>
      </w:r>
      <w:r w:rsidR="006C7763">
        <w:rPr>
          <w:rFonts w:eastAsia="Arial Unicode MS"/>
          <w:u w:color="000000"/>
        </w:rPr>
        <w:t xml:space="preserve"> governme</w:t>
      </w:r>
      <w:r w:rsidR="002D4697">
        <w:rPr>
          <w:rFonts w:eastAsia="Arial Unicode MS"/>
          <w:u w:color="000000"/>
        </w:rPr>
        <w:t>ntal, media, and social spheres</w:t>
      </w:r>
      <w:r w:rsidR="006C7763">
        <w:rPr>
          <w:rFonts w:eastAsia="Arial Unicode MS"/>
          <w:u w:color="000000"/>
        </w:rPr>
        <w:t xml:space="preserve"> </w:t>
      </w:r>
      <w:r w:rsidR="0004764A">
        <w:rPr>
          <w:rFonts w:eastAsia="Arial Unicode MS"/>
          <w:u w:color="000000"/>
        </w:rPr>
        <w:t xml:space="preserve">can </w:t>
      </w:r>
      <w:r w:rsidRPr="009B1FB1">
        <w:rPr>
          <w:rFonts w:eastAsia="Arial Unicode MS"/>
          <w:u w:color="000000"/>
        </w:rPr>
        <w:t>erase non-homonormative ways of being LGBT</w:t>
      </w:r>
      <w:r w:rsidR="00E60897">
        <w:rPr>
          <w:rFonts w:eastAsia="Arial Unicode MS"/>
          <w:u w:color="000000"/>
        </w:rPr>
        <w:t xml:space="preserve">, and </w:t>
      </w:r>
      <w:r w:rsidR="006C7763">
        <w:rPr>
          <w:rFonts w:eastAsia="Arial Unicode MS"/>
          <w:u w:color="000000"/>
        </w:rPr>
        <w:t>consequently marginalize those</w:t>
      </w:r>
      <w:r w:rsidR="00E60897">
        <w:rPr>
          <w:rFonts w:eastAsia="Arial Unicode MS"/>
          <w:u w:color="000000"/>
        </w:rPr>
        <w:t xml:space="preserve"> </w:t>
      </w:r>
      <w:r w:rsidR="006C7763">
        <w:rPr>
          <w:rFonts w:eastAsia="Arial Unicode MS"/>
          <w:u w:color="000000"/>
        </w:rPr>
        <w:t xml:space="preserve">unable </w:t>
      </w:r>
      <w:r w:rsidR="00E60897" w:rsidRPr="009B1FB1">
        <w:rPr>
          <w:rFonts w:eastAsia="Arial Unicode MS"/>
          <w:u w:color="000000"/>
        </w:rPr>
        <w:t xml:space="preserve">to </w:t>
      </w:r>
      <w:r w:rsidR="00E60897">
        <w:rPr>
          <w:rFonts w:eastAsia="Arial Unicode MS"/>
          <w:u w:color="000000"/>
        </w:rPr>
        <w:t>conform to</w:t>
      </w:r>
      <w:r w:rsidR="00E60897" w:rsidRPr="009B1FB1">
        <w:rPr>
          <w:rFonts w:eastAsia="Arial Unicode MS"/>
          <w:u w:color="000000"/>
        </w:rPr>
        <w:t xml:space="preserve"> service providers’ expectatio</w:t>
      </w:r>
      <w:r w:rsidR="00E60897">
        <w:rPr>
          <w:rFonts w:eastAsia="Arial Unicode MS"/>
          <w:u w:color="000000"/>
        </w:rPr>
        <w:t>ns</w:t>
      </w:r>
      <w:r w:rsidRPr="009B1FB1">
        <w:rPr>
          <w:rFonts w:eastAsia="Arial Unicode MS"/>
          <w:u w:color="000000"/>
        </w:rPr>
        <w:t>. I conclude that limited idea</w:t>
      </w:r>
      <w:r w:rsidR="0004764A">
        <w:rPr>
          <w:rFonts w:eastAsia="Arial Unicode MS"/>
          <w:u w:color="000000"/>
        </w:rPr>
        <w:t xml:space="preserve">s about LGBT subjectivity </w:t>
      </w:r>
      <w:r w:rsidR="0004764A" w:rsidRPr="009B1FB1">
        <w:rPr>
          <w:rFonts w:eastAsia="Arial Unicode MS"/>
          <w:u w:color="000000"/>
        </w:rPr>
        <w:t xml:space="preserve">structure </w:t>
      </w:r>
      <w:r w:rsidR="00E01473">
        <w:rPr>
          <w:rFonts w:eastAsia="Arial Unicode MS"/>
          <w:u w:color="000000"/>
        </w:rPr>
        <w:t>NGO</w:t>
      </w:r>
      <w:r w:rsidR="0004764A" w:rsidRPr="009B1FB1">
        <w:rPr>
          <w:rFonts w:eastAsia="Arial Unicode MS"/>
          <w:u w:color="000000"/>
        </w:rPr>
        <w:t xml:space="preserve"> workers’ </w:t>
      </w:r>
      <w:r w:rsidR="0004764A" w:rsidRPr="00423A8F">
        <w:rPr>
          <w:rFonts w:eastAsia="Arial Unicode MS"/>
          <w:u w:color="000000"/>
        </w:rPr>
        <w:t xml:space="preserve">attitudes and practices in much the same way as they shape </w:t>
      </w:r>
      <w:r w:rsidRPr="00423A8F">
        <w:rPr>
          <w:rFonts w:eastAsia="Arial Unicode MS"/>
          <w:u w:color="000000"/>
        </w:rPr>
        <w:t>U.S. Customs and Immigration Services (USCIS) criter</w:t>
      </w:r>
      <w:r w:rsidR="0004764A" w:rsidRPr="00423A8F">
        <w:rPr>
          <w:rFonts w:eastAsia="Arial Unicode MS"/>
          <w:u w:color="000000"/>
        </w:rPr>
        <w:t xml:space="preserve">ia </w:t>
      </w:r>
      <w:r w:rsidR="0004764A" w:rsidRPr="00423A8F">
        <w:rPr>
          <w:rFonts w:eastAsia="Arial Unicode MS"/>
          <w:u w:color="000000"/>
        </w:rPr>
        <w:lastRenderedPageBreak/>
        <w:t>for granting asylum</w:t>
      </w:r>
      <w:r w:rsidR="00182BF8" w:rsidRPr="00423A8F">
        <w:rPr>
          <w:rFonts w:eastAsia="Arial Unicode MS"/>
          <w:u w:color="000000"/>
        </w:rPr>
        <w:t>.</w:t>
      </w:r>
      <w:r w:rsidR="00E8070D" w:rsidRPr="00423A8F">
        <w:rPr>
          <w:rFonts w:eastAsia="Arial Unicode MS"/>
          <w:u w:color="000000"/>
        </w:rPr>
        <w:t xml:space="preserve"> </w:t>
      </w:r>
      <w:r w:rsidR="00423A8F" w:rsidRPr="00423A8F">
        <w:rPr>
          <w:rFonts w:eastAsia="Arial Unicode MS"/>
          <w:u w:color="000000"/>
        </w:rPr>
        <w:t>As such, these NGOs</w:t>
      </w:r>
      <w:r w:rsidR="002F74D1" w:rsidRPr="00423A8F">
        <w:rPr>
          <w:rFonts w:eastAsia="Arial Unicode MS"/>
          <w:u w:color="000000"/>
        </w:rPr>
        <w:t xml:space="preserve"> may be read as </w:t>
      </w:r>
      <w:r w:rsidR="00423A8F" w:rsidRPr="00423A8F">
        <w:rPr>
          <w:rFonts w:eastAsia="Arial Unicode MS"/>
          <w:u w:color="000000"/>
        </w:rPr>
        <w:t>extending</w:t>
      </w:r>
      <w:r w:rsidR="002F74D1" w:rsidRPr="00423A8F">
        <w:rPr>
          <w:rFonts w:eastAsia="Arial Unicode MS"/>
          <w:u w:color="000000"/>
        </w:rPr>
        <w:t xml:space="preserve"> rather than </w:t>
      </w:r>
      <w:r w:rsidR="00423A8F" w:rsidRPr="00423A8F">
        <w:rPr>
          <w:rFonts w:eastAsia="Arial Unicode MS"/>
          <w:u w:color="000000"/>
        </w:rPr>
        <w:t>challenging</w:t>
      </w:r>
      <w:r w:rsidR="002F74D1" w:rsidRPr="00423A8F">
        <w:rPr>
          <w:rFonts w:eastAsia="Arial Unicode MS"/>
          <w:u w:color="000000"/>
        </w:rPr>
        <w:t xml:space="preserve"> existing legal barriers to asylum for LGBT claimants</w:t>
      </w:r>
      <w:r w:rsidR="002D4697">
        <w:rPr>
          <w:rFonts w:eastAsia="Arial Unicode MS"/>
          <w:u w:color="000000"/>
        </w:rPr>
        <w:t>—an outcome that has notable consequences for all asylum seekers, and more broadly for non-normatively LGBT people living in the United States.</w:t>
      </w:r>
    </w:p>
    <w:p w14:paraId="3012580C" w14:textId="143A1C39" w:rsidR="00BF429D" w:rsidRDefault="000C5BDD" w:rsidP="0004764A">
      <w:pPr>
        <w:pStyle w:val="PoLAR"/>
      </w:pPr>
      <w:r w:rsidRPr="009B1FB1">
        <w:t xml:space="preserve">My data </w:t>
      </w:r>
      <w:r w:rsidR="002D4697">
        <w:t>are</w:t>
      </w:r>
      <w:r w:rsidRPr="009B1FB1">
        <w:t xml:space="preserve"> </w:t>
      </w:r>
      <w:r w:rsidRPr="009B1FB1">
        <w:rPr>
          <w:rFonts w:eastAsia="Arial Unicode MS"/>
          <w:u w:color="000000"/>
        </w:rPr>
        <w:t>drawn from</w:t>
      </w:r>
      <w:r w:rsidR="00BD40F0" w:rsidRPr="009B1FB1">
        <w:rPr>
          <w:rFonts w:eastAsia="Arial Unicode MS"/>
          <w:u w:color="000000"/>
        </w:rPr>
        <w:t xml:space="preserve"> </w:t>
      </w:r>
      <w:r w:rsidR="00DD157B" w:rsidRPr="009B1FB1">
        <w:t xml:space="preserve">sixteen months of </w:t>
      </w:r>
      <w:r w:rsidR="002D4697">
        <w:t xml:space="preserve">ethnographic </w:t>
      </w:r>
      <w:r w:rsidR="00DD157B" w:rsidRPr="009B1FB1">
        <w:t>research</w:t>
      </w:r>
      <w:r w:rsidR="002D4697">
        <w:t xml:space="preserve"> </w:t>
      </w:r>
      <w:r w:rsidR="002D4697" w:rsidRPr="009B1FB1">
        <w:t>with asylum seekers, asylees, NGO staff and volunteers, an</w:t>
      </w:r>
      <w:r w:rsidR="002D4697">
        <w:t>d attorneys,</w:t>
      </w:r>
      <w:r w:rsidR="00DD157B" w:rsidRPr="009B1FB1">
        <w:t xml:space="preserve"> </w:t>
      </w:r>
      <w:r w:rsidR="002D4697">
        <w:t xml:space="preserve">conducted </w:t>
      </w:r>
      <w:r w:rsidR="008D2A44">
        <w:t xml:space="preserve">between </w:t>
      </w:r>
      <w:r w:rsidRPr="009B1FB1">
        <w:t>2012</w:t>
      </w:r>
      <w:r w:rsidR="008D2A44">
        <w:t xml:space="preserve"> and </w:t>
      </w:r>
      <w:r w:rsidRPr="009B1FB1">
        <w:t>2014 at three sites:</w:t>
      </w:r>
      <w:r w:rsidR="001C3623" w:rsidRPr="009B1FB1">
        <w:t xml:space="preserve"> </w:t>
      </w:r>
      <w:r w:rsidR="00252DB4" w:rsidRPr="009B1FB1">
        <w:t xml:space="preserve">Nottsborough, </w:t>
      </w:r>
      <w:r w:rsidRPr="009B1FB1">
        <w:t>New England;</w:t>
      </w:r>
      <w:r w:rsidR="00AD3F94">
        <w:t xml:space="preserve"> the California Bay Area;</w:t>
      </w:r>
      <w:r w:rsidR="00DD157B" w:rsidRPr="009B1FB1">
        <w:t xml:space="preserve"> and Wash</w:t>
      </w:r>
      <w:r w:rsidR="001C3623" w:rsidRPr="009B1FB1">
        <w:t>ington D</w:t>
      </w:r>
      <w:r w:rsidR="00235779">
        <w:t>.</w:t>
      </w:r>
      <w:r w:rsidR="001C3623" w:rsidRPr="009B1FB1">
        <w:t>C</w:t>
      </w:r>
      <w:r w:rsidRPr="009B1FB1">
        <w:t>.</w:t>
      </w:r>
      <w:r w:rsidR="006D754A" w:rsidRPr="009B1FB1">
        <w:t xml:space="preserve"> </w:t>
      </w:r>
      <w:r w:rsidR="008D2A44">
        <w:t>In</w:t>
      </w:r>
      <w:r w:rsidR="006D754A" w:rsidRPr="009B1FB1">
        <w:t xml:space="preserve"> each</w:t>
      </w:r>
      <w:r w:rsidR="008D2A44">
        <w:t xml:space="preserve"> location</w:t>
      </w:r>
      <w:r w:rsidR="001C0039">
        <w:t>,</w:t>
      </w:r>
      <w:r w:rsidR="006D754A" w:rsidRPr="009B1FB1">
        <w:t xml:space="preserve"> </w:t>
      </w:r>
      <w:r w:rsidR="00DA6350">
        <w:t xml:space="preserve">I </w:t>
      </w:r>
      <w:r w:rsidR="008D2A44">
        <w:t xml:space="preserve">accompanied asylum seeking </w:t>
      </w:r>
      <w:r w:rsidR="008D2A44" w:rsidRPr="009B1FB1">
        <w:t xml:space="preserve">interlocutors through their daily routines, </w:t>
      </w:r>
      <w:r w:rsidR="008D2A44">
        <w:t>both within and beyond NGO spaces</w:t>
      </w:r>
      <w:r w:rsidR="008D2A44" w:rsidRPr="009B1FB1">
        <w:t xml:space="preserve">. </w:t>
      </w:r>
      <w:r w:rsidR="008D2A44">
        <w:t xml:space="preserve">I also </w:t>
      </w:r>
      <w:r w:rsidR="00DA6350">
        <w:t>spent time in NGO offices</w:t>
      </w:r>
      <w:r w:rsidR="006D754A" w:rsidRPr="009B1FB1">
        <w:t xml:space="preserve"> and at</w:t>
      </w:r>
      <w:r w:rsidR="008D2A44">
        <w:t>tended</w:t>
      </w:r>
      <w:r w:rsidR="006D754A" w:rsidRPr="009B1FB1">
        <w:t xml:space="preserve"> fundraising and educational events</w:t>
      </w:r>
      <w:r w:rsidR="00DA6350">
        <w:t>,</w:t>
      </w:r>
      <w:r w:rsidR="006D754A" w:rsidRPr="009B1FB1">
        <w:t xml:space="preserve"> keeping extensive field notes and collecting </w:t>
      </w:r>
      <w:r w:rsidR="008D2A44">
        <w:t xml:space="preserve">organizational reports </w:t>
      </w:r>
      <w:r w:rsidR="006D754A" w:rsidRPr="009B1FB1">
        <w:t xml:space="preserve">and promotional materials. </w:t>
      </w:r>
      <w:r w:rsidR="004C5966" w:rsidRPr="009B1FB1">
        <w:t>I interviewed twenty-two service providers from eight organizations. While some asylees worked for the</w:t>
      </w:r>
      <w:r w:rsidR="00DA6350">
        <w:t>se</w:t>
      </w:r>
      <w:r w:rsidR="004C5966" w:rsidRPr="009B1FB1">
        <w:t xml:space="preserve"> NGOs, the </w:t>
      </w:r>
      <w:r w:rsidR="008D2A44">
        <w:t xml:space="preserve">vast </w:t>
      </w:r>
      <w:r w:rsidR="004C5966" w:rsidRPr="009B1FB1">
        <w:t>major</w:t>
      </w:r>
      <w:r w:rsidR="00DA6350">
        <w:t>ity of staff and volunteers—</w:t>
      </w:r>
      <w:r w:rsidR="004C5966" w:rsidRPr="009B1FB1">
        <w:t>and all of t</w:t>
      </w:r>
      <w:r w:rsidR="00DA6350">
        <w:t>he attorneys—</w:t>
      </w:r>
      <w:r w:rsidR="004C5966" w:rsidRPr="009B1FB1">
        <w:t xml:space="preserve">were U.S. citizens. </w:t>
      </w:r>
      <w:r w:rsidR="00715A3E" w:rsidRPr="009B1FB1">
        <w:t xml:space="preserve">My </w:t>
      </w:r>
      <w:proofErr w:type="gramStart"/>
      <w:r w:rsidR="004C5966" w:rsidRPr="004C5966">
        <w:t>forty</w:t>
      </w:r>
      <w:r w:rsidR="00A11898">
        <w:t xml:space="preserve"> </w:t>
      </w:r>
      <w:r w:rsidR="00715A3E" w:rsidRPr="004C5966">
        <w:t>asylum</w:t>
      </w:r>
      <w:proofErr w:type="gramEnd"/>
      <w:r w:rsidR="00715A3E" w:rsidRPr="009B1FB1">
        <w:t xml:space="preserve"> seeker and asylee </w:t>
      </w:r>
      <w:r w:rsidR="0072612E">
        <w:t>interlocutors</w:t>
      </w:r>
      <w:r w:rsidR="00715A3E" w:rsidRPr="009B1FB1">
        <w:t xml:space="preserve"> hailed from fifteen countries, primarily in the C</w:t>
      </w:r>
      <w:r w:rsidR="00715A3E">
        <w:t>aribbean, East Africa, Russia, and</w:t>
      </w:r>
      <w:r w:rsidR="00715A3E" w:rsidRPr="009B1FB1">
        <w:t xml:space="preserve"> the Middle East. </w:t>
      </w:r>
      <w:r w:rsidR="004C5966">
        <w:t xml:space="preserve">Thirty </w:t>
      </w:r>
      <w:r w:rsidR="006D754A" w:rsidRPr="009B1FB1">
        <w:t>had</w:t>
      </w:r>
      <w:r w:rsidR="00DA6350">
        <w:t xml:space="preserve"> </w:t>
      </w:r>
      <w:r w:rsidR="006D754A" w:rsidRPr="009B1FB1">
        <w:t>received support</w:t>
      </w:r>
      <w:r w:rsidR="00166B94">
        <w:t>—housing, legal representation, travel cards, or stipends—</w:t>
      </w:r>
      <w:r w:rsidR="006D754A" w:rsidRPr="009B1FB1">
        <w:t xml:space="preserve">from </w:t>
      </w:r>
      <w:proofErr w:type="gramStart"/>
      <w:r w:rsidR="001C0039">
        <w:t>a</w:t>
      </w:r>
      <w:proofErr w:type="gramEnd"/>
      <w:r w:rsidR="001C0039">
        <w:t xml:space="preserve"> NGO</w:t>
      </w:r>
      <w:r w:rsidR="0004764A">
        <w:t xml:space="preserve"> that worked </w:t>
      </w:r>
      <w:r w:rsidR="008D2A44">
        <w:t>exclusively</w:t>
      </w:r>
      <w:r w:rsidR="0004764A">
        <w:t xml:space="preserve"> with LGBT asylum seekers. </w:t>
      </w:r>
      <w:r w:rsidR="00037A21">
        <w:t>T</w:t>
      </w:r>
      <w:r w:rsidR="00DA6350">
        <w:t>en</w:t>
      </w:r>
      <w:r w:rsidR="006D754A" w:rsidRPr="009B1FB1">
        <w:t xml:space="preserve"> had either </w:t>
      </w:r>
      <w:r w:rsidR="00715A3E">
        <w:t>relied on personal resources and networks to navigate</w:t>
      </w:r>
      <w:r w:rsidR="006D754A" w:rsidRPr="009B1FB1">
        <w:t xml:space="preserve"> the </w:t>
      </w:r>
      <w:r w:rsidR="008D2A44">
        <w:t>asylum</w:t>
      </w:r>
      <w:r w:rsidR="006D754A" w:rsidRPr="009B1FB1">
        <w:t xml:space="preserve"> </w:t>
      </w:r>
      <w:proofErr w:type="gramStart"/>
      <w:r w:rsidR="006D754A" w:rsidRPr="009B1FB1">
        <w:t>process</w:t>
      </w:r>
      <w:r w:rsidR="0004764A">
        <w:t>,</w:t>
      </w:r>
      <w:r w:rsidR="004C5966">
        <w:t xml:space="preserve"> or</w:t>
      </w:r>
      <w:proofErr w:type="gramEnd"/>
      <w:r w:rsidR="004C5966">
        <w:t xml:space="preserve"> had received aid</w:t>
      </w:r>
      <w:r w:rsidR="0004764A">
        <w:t xml:space="preserve"> </w:t>
      </w:r>
      <w:r w:rsidR="006D754A" w:rsidRPr="009B1FB1">
        <w:t xml:space="preserve">from </w:t>
      </w:r>
      <w:r w:rsidR="004C5966">
        <w:t xml:space="preserve">a </w:t>
      </w:r>
      <w:r w:rsidR="004C5966" w:rsidRPr="009B1FB1">
        <w:t xml:space="preserve">patchwork </w:t>
      </w:r>
      <w:r w:rsidR="004C5966">
        <w:t xml:space="preserve">of </w:t>
      </w:r>
      <w:r w:rsidR="00DA6350">
        <w:t xml:space="preserve">non-specialist </w:t>
      </w:r>
      <w:r w:rsidR="004C5966">
        <w:t>organizations</w:t>
      </w:r>
      <w:r w:rsidR="006D754A" w:rsidRPr="009B1FB1">
        <w:t xml:space="preserve">. </w:t>
      </w:r>
    </w:p>
    <w:p w14:paraId="01CCA57F" w14:textId="74D84F17" w:rsidR="004209A5" w:rsidRDefault="00BF429D" w:rsidP="004209A5">
      <w:pPr>
        <w:pStyle w:val="PoLAR"/>
      </w:pPr>
      <w:r>
        <w:lastRenderedPageBreak/>
        <w:t>I</w:t>
      </w:r>
      <w:r w:rsidRPr="009B1FB1">
        <w:t xml:space="preserve"> use pseudonyms for individuals and organizations</w:t>
      </w:r>
      <w:r>
        <w:t xml:space="preserve"> throughout this article</w:t>
      </w:r>
      <w:r w:rsidRPr="009B1FB1">
        <w:t>.</w:t>
      </w:r>
      <w:r>
        <w:t xml:space="preserve"> </w:t>
      </w:r>
      <w:r w:rsidR="00F6581C">
        <w:t xml:space="preserve">I </w:t>
      </w:r>
      <w:r>
        <w:t xml:space="preserve">also </w:t>
      </w:r>
      <w:r w:rsidR="00F6581C">
        <w:t>use the term “LGBT</w:t>
      </w:r>
      <w:r>
        <w:t>,</w:t>
      </w:r>
      <w:r w:rsidR="00F6581C">
        <w:t xml:space="preserve">” while noting that not all people fleeing </w:t>
      </w:r>
      <w:r w:rsidR="00F6581C" w:rsidRPr="00634A6A">
        <w:rPr>
          <w:rFonts w:cs="Times New Roman"/>
        </w:rPr>
        <w:t>persecution of their sexual</w:t>
      </w:r>
      <w:r>
        <w:rPr>
          <w:rFonts w:cs="Times New Roman"/>
        </w:rPr>
        <w:t>ity</w:t>
      </w:r>
      <w:r w:rsidR="00F6581C" w:rsidRPr="00634A6A">
        <w:rPr>
          <w:rFonts w:cs="Times New Roman"/>
        </w:rPr>
        <w:t xml:space="preserve"> or gender identity</w:t>
      </w:r>
      <w:r w:rsidR="00F6581C">
        <w:t xml:space="preserve"> </w:t>
      </w:r>
      <w:r>
        <w:t>self-</w:t>
      </w:r>
      <w:r w:rsidR="00F6581C">
        <w:t xml:space="preserve">identify as lesbian, gay, bisexual or trans. </w:t>
      </w:r>
      <w:r>
        <w:t xml:space="preserve">I do not </w:t>
      </w:r>
      <w:r w:rsidR="00AA5AD8" w:rsidRPr="009B1FB1">
        <w:t xml:space="preserve">suggest an </w:t>
      </w:r>
      <w:r w:rsidR="00AA5AD8" w:rsidRPr="009B1FB1">
        <w:rPr>
          <w:i/>
        </w:rPr>
        <w:t>a priori</w:t>
      </w:r>
      <w:r w:rsidR="00AA5AD8" w:rsidRPr="009B1FB1">
        <w:t xml:space="preserve"> U.S.-centric reference point for </w:t>
      </w:r>
      <w:r w:rsidR="00AA5AD8">
        <w:t>my interlocutors’</w:t>
      </w:r>
      <w:r w:rsidR="00AA5AD8" w:rsidRPr="009B1FB1">
        <w:t xml:space="preserve"> diverse sexual and gender subjectivities. </w:t>
      </w:r>
      <w:r w:rsidR="00F6581C">
        <w:t xml:space="preserve">The acronym </w:t>
      </w:r>
      <w:r w:rsidR="00380AAD" w:rsidRPr="00634A6A">
        <w:rPr>
          <w:rFonts w:cs="Times New Roman"/>
        </w:rPr>
        <w:t xml:space="preserve">has </w:t>
      </w:r>
      <w:r w:rsidR="00F6581C">
        <w:rPr>
          <w:rFonts w:cs="Times New Roman"/>
        </w:rPr>
        <w:t xml:space="preserve">however </w:t>
      </w:r>
      <w:r w:rsidR="00380AAD" w:rsidRPr="00634A6A">
        <w:rPr>
          <w:rFonts w:cs="Times New Roman"/>
        </w:rPr>
        <w:t xml:space="preserve">become accepted shorthand for </w:t>
      </w:r>
      <w:r w:rsidR="001C7DC3">
        <w:rPr>
          <w:rFonts w:cs="Times New Roman"/>
        </w:rPr>
        <w:t xml:space="preserve">such asylum </w:t>
      </w:r>
      <w:r w:rsidR="00380AAD" w:rsidRPr="00634A6A">
        <w:rPr>
          <w:rFonts w:cs="Times New Roman"/>
        </w:rPr>
        <w:t xml:space="preserve">claimants </w:t>
      </w:r>
      <w:r w:rsidR="00F6581C">
        <w:rPr>
          <w:rFonts w:cs="Times New Roman"/>
        </w:rPr>
        <w:t xml:space="preserve">within </w:t>
      </w:r>
      <w:r w:rsidR="001C7DC3">
        <w:rPr>
          <w:rFonts w:cs="Times New Roman"/>
        </w:rPr>
        <w:t>law and policy</w:t>
      </w:r>
      <w:r w:rsidR="00F6581C">
        <w:rPr>
          <w:rFonts w:cs="Times New Roman"/>
        </w:rPr>
        <w:t>, media, and—to a lesser extent—scholarly circles</w:t>
      </w:r>
      <w:r w:rsidR="00380AAD" w:rsidRPr="009B1FB1">
        <w:rPr>
          <w:rFonts w:eastAsia="Arial Unicode MS"/>
          <w:u w:color="000000"/>
        </w:rPr>
        <w:t>.</w:t>
      </w:r>
      <w:r w:rsidR="00380AAD">
        <w:rPr>
          <w:rFonts w:eastAsia="Arial Unicode MS"/>
          <w:u w:color="000000"/>
        </w:rPr>
        <w:t xml:space="preserve"> </w:t>
      </w:r>
      <w:r w:rsidR="00F07592">
        <w:rPr>
          <w:rFonts w:eastAsia="Arial Unicode MS"/>
          <w:u w:color="000000"/>
        </w:rPr>
        <w:t xml:space="preserve">As </w:t>
      </w:r>
      <w:r w:rsidR="006567B1" w:rsidRPr="009B1FB1">
        <w:t xml:space="preserve">I </w:t>
      </w:r>
      <w:r w:rsidR="00F6581C">
        <w:t>focu</w:t>
      </w:r>
      <w:r w:rsidR="00380AAD">
        <w:t>s</w:t>
      </w:r>
      <w:r w:rsidR="006567B1">
        <w:t xml:space="preserve"> on </w:t>
      </w:r>
      <w:r w:rsidR="00380AAD">
        <w:t>discursive constructs and the transferal of ideas between those spheres</w:t>
      </w:r>
      <w:r w:rsidR="00F07592">
        <w:t xml:space="preserve">, </w:t>
      </w:r>
      <w:r w:rsidR="00AA5AD8">
        <w:t xml:space="preserve">I want to pay </w:t>
      </w:r>
      <w:r w:rsidR="00F07592">
        <w:t>attent</w:t>
      </w:r>
      <w:r w:rsidR="00AA5AD8">
        <w:t>ion to this norm, rather than contest it here</w:t>
      </w:r>
      <w:r w:rsidR="008D23CD">
        <w:t>.</w:t>
      </w:r>
      <w:r w:rsidR="006567B1">
        <w:t xml:space="preserve"> </w:t>
      </w:r>
      <w:r w:rsidR="00AA5AD8">
        <w:t>More</w:t>
      </w:r>
      <w:r w:rsidR="0097128B">
        <w:t>over</w:t>
      </w:r>
      <w:r w:rsidR="00AA5AD8">
        <w:t xml:space="preserve">, </w:t>
      </w:r>
      <w:r w:rsidR="0097128B">
        <w:t xml:space="preserve">my interlocutors </w:t>
      </w:r>
      <w:r w:rsidR="00AA5AD8">
        <w:t xml:space="preserve">identified </w:t>
      </w:r>
      <w:r w:rsidR="0097128B">
        <w:t xml:space="preserve">as L, G, B and/or T, with one exception who </w:t>
      </w:r>
      <w:r w:rsidR="00AA5AD8">
        <w:t>eschewed all identity</w:t>
      </w:r>
      <w:r w:rsidR="00380AAD">
        <w:t xml:space="preserve"> </w:t>
      </w:r>
      <w:r w:rsidR="00AA5AD8">
        <w:t>labels</w:t>
      </w:r>
      <w:r w:rsidR="006D754A" w:rsidRPr="009B1FB1">
        <w:t>.</w:t>
      </w:r>
      <w:r w:rsidR="00AA5AD8">
        <w:t xml:space="preserve"> A</w:t>
      </w:r>
      <w:r w:rsidR="00E10D63" w:rsidRPr="009B1FB1">
        <w:t>ccepting my interlocutors’ self-identifications at face value</w:t>
      </w:r>
      <w:r w:rsidR="0097128B">
        <w:t>—</w:t>
      </w:r>
      <w:r w:rsidR="00AA5AD8">
        <w:t>rather</w:t>
      </w:r>
      <w:r w:rsidR="0097128B">
        <w:t xml:space="preserve"> </w:t>
      </w:r>
      <w:r w:rsidR="00AA5AD8">
        <w:t>than assertively naming them as</w:t>
      </w:r>
      <w:r w:rsidR="0097128B">
        <w:t xml:space="preserve"> “queer” or otherwise “non-LGBT</w:t>
      </w:r>
      <w:r w:rsidR="00AA5AD8">
        <w:t>”</w:t>
      </w:r>
      <w:r w:rsidR="0097128B">
        <w:t xml:space="preserve">—further demonstrates </w:t>
      </w:r>
      <w:r w:rsidR="00E8070D">
        <w:t>how</w:t>
      </w:r>
      <w:r w:rsidR="00E10D63" w:rsidRPr="009B1FB1">
        <w:t xml:space="preserve"> limited definitions and imaginaries </w:t>
      </w:r>
      <w:r w:rsidR="006D754A" w:rsidRPr="009B1FB1">
        <w:t>used with</w:t>
      </w:r>
      <w:r w:rsidR="00E8070D">
        <w:t>in and around the asylum system can</w:t>
      </w:r>
      <w:r w:rsidR="00E10D63" w:rsidRPr="009B1FB1">
        <w:t xml:space="preserve"> deny </w:t>
      </w:r>
      <w:r w:rsidR="00E8070D">
        <w:t>individuals</w:t>
      </w:r>
      <w:r w:rsidR="00E10D63" w:rsidRPr="009B1FB1">
        <w:t xml:space="preserve">’ claims to </w:t>
      </w:r>
      <w:r w:rsidR="00826F72">
        <w:t>“</w:t>
      </w:r>
      <w:r w:rsidR="006D754A" w:rsidRPr="009B1FB1">
        <w:t>LGBT</w:t>
      </w:r>
      <w:r w:rsidR="00826F72">
        <w:t>”</w:t>
      </w:r>
      <w:r w:rsidR="006D754A" w:rsidRPr="009B1FB1">
        <w:t xml:space="preserve"> identity</w:t>
      </w:r>
      <w:r w:rsidR="00E10D63" w:rsidRPr="009B1FB1">
        <w:t xml:space="preserve"> on their own terms.</w:t>
      </w:r>
    </w:p>
    <w:p w14:paraId="62FEAF44" w14:textId="77777777" w:rsidR="007D50A4" w:rsidRPr="004209A5" w:rsidRDefault="007D50A4" w:rsidP="000214D5">
      <w:pPr>
        <w:pStyle w:val="PoLAR"/>
        <w:outlineLvl w:val="0"/>
        <w:rPr>
          <w:b/>
        </w:rPr>
      </w:pPr>
      <w:r w:rsidRPr="004209A5">
        <w:rPr>
          <w:b/>
        </w:rPr>
        <w:t>Permissible Subjectivities (or, “Winnable Cases”)</w:t>
      </w:r>
    </w:p>
    <w:p w14:paraId="339087DB" w14:textId="7C7E32F8" w:rsidR="007D50A4" w:rsidRPr="009B1FB1" w:rsidRDefault="00DF572A" w:rsidP="001C0039">
      <w:pPr>
        <w:pStyle w:val="PoLAR"/>
      </w:pPr>
      <w:r w:rsidRPr="009B1FB1">
        <w:rPr>
          <w:rFonts w:cs="Times New Roman"/>
        </w:rPr>
        <w:t>The Rainbow Immigration Coalition</w:t>
      </w:r>
      <w:r w:rsidRPr="009B1FB1">
        <w:t xml:space="preserve"> (RIC</w:t>
      </w:r>
      <w:r w:rsidR="007D50A4" w:rsidRPr="009B1FB1">
        <w:t>) was established in 1994 to provide legal ser</w:t>
      </w:r>
      <w:r w:rsidR="00380AAD">
        <w:t xml:space="preserve">vices to LGBT immigrants, </w:t>
      </w:r>
      <w:r w:rsidR="007D50A4" w:rsidRPr="009B1FB1">
        <w:t>particular</w:t>
      </w:r>
      <w:r w:rsidR="00380AAD">
        <w:t>ly</w:t>
      </w:r>
      <w:r w:rsidR="007D50A4" w:rsidRPr="009B1FB1">
        <w:t xml:space="preserve"> </w:t>
      </w:r>
      <w:r w:rsidR="00380AAD">
        <w:t>bi-national</w:t>
      </w:r>
      <w:r w:rsidR="007D50A4" w:rsidRPr="009B1FB1">
        <w:t xml:space="preserve"> same-sex couples. Following the </w:t>
      </w:r>
      <w:r w:rsidR="00826F72" w:rsidRPr="009B1FB1">
        <w:t>2012</w:t>
      </w:r>
      <w:r w:rsidR="00826F72">
        <w:t xml:space="preserve"> </w:t>
      </w:r>
      <w:r w:rsidR="007D50A4" w:rsidRPr="009B1FB1">
        <w:t>repeal o</w:t>
      </w:r>
      <w:r w:rsidR="00826F72">
        <w:t>f the Defense of Marriage Act</w:t>
      </w:r>
      <w:r w:rsidR="007D50A4" w:rsidRPr="009B1FB1">
        <w:t xml:space="preserve">, </w:t>
      </w:r>
      <w:r w:rsidRPr="009B1FB1">
        <w:t>RIC</w:t>
      </w:r>
      <w:r w:rsidR="007D50A4" w:rsidRPr="009B1FB1">
        <w:t xml:space="preserve"> remarketed itself as the preeminent legal service provider and advocacy organization for LGBT </w:t>
      </w:r>
      <w:r w:rsidR="007D50A4" w:rsidRPr="009B1FB1">
        <w:lastRenderedPageBreak/>
        <w:t xml:space="preserve">asylum seekers. Backed by a dedicated Public Relations team, </w:t>
      </w:r>
      <w:r w:rsidR="008E04C4">
        <w:t>it</w:t>
      </w:r>
      <w:r w:rsidR="007D50A4" w:rsidRPr="009B1FB1">
        <w:t xml:space="preserve"> </w:t>
      </w:r>
      <w:r w:rsidR="00380AAD">
        <w:t>beca</w:t>
      </w:r>
      <w:r w:rsidR="007D50A4" w:rsidRPr="009B1FB1">
        <w:t>me the go-to voice for journalists and policy res</w:t>
      </w:r>
      <w:r w:rsidR="006D754A" w:rsidRPr="009B1FB1">
        <w:t xml:space="preserve">earchers </w:t>
      </w:r>
      <w:r w:rsidR="005D1053">
        <w:t>covering</w:t>
      </w:r>
      <w:r w:rsidR="00380AAD">
        <w:t xml:space="preserve"> LGBT asylu</w:t>
      </w:r>
      <w:r w:rsidR="008E04C4">
        <w:t>m</w:t>
      </w:r>
      <w:r w:rsidR="006D3E6E">
        <w:t>. I</w:t>
      </w:r>
      <w:r w:rsidR="007D50A4" w:rsidRPr="009B1FB1">
        <w:t xml:space="preserve">n 2013, </w:t>
      </w:r>
      <w:r w:rsidR="006D3E6E">
        <w:t xml:space="preserve">RIC </w:t>
      </w:r>
      <w:r w:rsidR="007D50A4" w:rsidRPr="009B1FB1">
        <w:t xml:space="preserve">raised </w:t>
      </w:r>
      <w:r w:rsidR="00380AAD">
        <w:t>over two</w:t>
      </w:r>
      <w:r w:rsidR="007D50A4" w:rsidRPr="009B1FB1">
        <w:t xml:space="preserve"> million </w:t>
      </w:r>
      <w:r w:rsidR="00380AAD">
        <w:t xml:space="preserve">dollars </w:t>
      </w:r>
      <w:r w:rsidR="007D50A4" w:rsidRPr="009B1FB1">
        <w:t xml:space="preserve">from private </w:t>
      </w:r>
      <w:r w:rsidR="006D3E6E">
        <w:t xml:space="preserve">and foundation </w:t>
      </w:r>
      <w:r w:rsidR="007D50A4" w:rsidRPr="009B1FB1">
        <w:t xml:space="preserve">donors. </w:t>
      </w:r>
      <w:r w:rsidR="00FB73CF">
        <w:t>O</w:t>
      </w:r>
      <w:r w:rsidR="007D50A4" w:rsidRPr="009B1FB1">
        <w:t xml:space="preserve">ther </w:t>
      </w:r>
      <w:r w:rsidR="00FB73CF">
        <w:t xml:space="preserve">non-profit </w:t>
      </w:r>
      <w:r w:rsidR="007D50A4" w:rsidRPr="009B1FB1">
        <w:t xml:space="preserve">organizations provide </w:t>
      </w:r>
      <w:r w:rsidR="00044DD6" w:rsidRPr="009B1FB1">
        <w:t xml:space="preserve">pro bono counsel </w:t>
      </w:r>
      <w:r w:rsidR="007D50A4" w:rsidRPr="009B1FB1">
        <w:t>to LGBT asylum seekers,</w:t>
      </w:r>
      <w:r w:rsidR="00252DB4" w:rsidRPr="009B1FB1">
        <w:t xml:space="preserve"> </w:t>
      </w:r>
      <w:r w:rsidR="00044DD6">
        <w:t>as do a range of</w:t>
      </w:r>
      <w:r w:rsidR="0018719A" w:rsidRPr="009B1FB1">
        <w:t xml:space="preserve"> </w:t>
      </w:r>
      <w:r w:rsidR="007D50A4" w:rsidRPr="009B1FB1">
        <w:t>lawyers</w:t>
      </w:r>
      <w:r w:rsidR="0018719A" w:rsidRPr="009B1FB1">
        <w:t>’ associations</w:t>
      </w:r>
      <w:r w:rsidR="006D754A" w:rsidRPr="009B1FB1">
        <w:t xml:space="preserve">, </w:t>
      </w:r>
      <w:r w:rsidR="00044DD6">
        <w:t>small NGOs, law school clinics, and private legal firms</w:t>
      </w:r>
      <w:r w:rsidR="006D3E6E">
        <w:t xml:space="preserve">. </w:t>
      </w:r>
      <w:r w:rsidR="00AD3F94">
        <w:t xml:space="preserve">None </w:t>
      </w:r>
      <w:r w:rsidR="006D3E6E">
        <w:t>boast</w:t>
      </w:r>
      <w:r w:rsidR="00AD3F94">
        <w:t>s</w:t>
      </w:r>
      <w:r w:rsidR="006D3E6E">
        <w:t xml:space="preserve"> as</w:t>
      </w:r>
      <w:r w:rsidR="00FB73CF">
        <w:t xml:space="preserve"> high </w:t>
      </w:r>
      <w:r w:rsidR="006D3E6E">
        <w:t xml:space="preserve">a </w:t>
      </w:r>
      <w:r w:rsidR="00FB73CF">
        <w:t>profile as RIC</w:t>
      </w:r>
      <w:r w:rsidR="009C1B2A" w:rsidRPr="009B1FB1">
        <w:t xml:space="preserve">. </w:t>
      </w:r>
    </w:p>
    <w:p w14:paraId="6151BE80" w14:textId="7E72D58F" w:rsidR="006D3E6E" w:rsidRDefault="00441C4F" w:rsidP="001B3E0D">
      <w:pPr>
        <w:pStyle w:val="PoLAR"/>
      </w:pPr>
      <w:r>
        <w:t>Each year, these organizations field thousands of calls and</w:t>
      </w:r>
      <w:r w:rsidR="007D50A4" w:rsidRPr="009B1FB1">
        <w:t xml:space="preserve"> emails from LGBT people seeking counsel, information, or advice about seeking asylum. Demand for services outstrips capacity, </w:t>
      </w:r>
      <w:r w:rsidR="00044DD6">
        <w:t xml:space="preserve">as the U.S. government does not provide </w:t>
      </w:r>
      <w:r>
        <w:t xml:space="preserve">legal </w:t>
      </w:r>
      <w:r w:rsidR="006D3E6E">
        <w:t>aid</w:t>
      </w:r>
      <w:r>
        <w:t xml:space="preserve"> </w:t>
      </w:r>
      <w:r w:rsidR="00044DD6">
        <w:t>to a</w:t>
      </w:r>
      <w:r w:rsidR="00044DD6" w:rsidRPr="009B1FB1">
        <w:t>sylum seekers</w:t>
      </w:r>
      <w:r w:rsidR="00044DD6">
        <w:t>.</w:t>
      </w:r>
      <w:r w:rsidR="00044DD6" w:rsidRPr="009B1FB1">
        <w:t xml:space="preserve"> </w:t>
      </w:r>
      <w:r w:rsidR="00044DD6">
        <w:t>O</w:t>
      </w:r>
      <w:r w:rsidR="007D50A4" w:rsidRPr="009B1FB1">
        <w:t xml:space="preserve">rganizations </w:t>
      </w:r>
      <w:r w:rsidR="00044DD6">
        <w:t xml:space="preserve">decide to </w:t>
      </w:r>
      <w:r w:rsidR="006D3E6E">
        <w:t>take on</w:t>
      </w:r>
      <w:r w:rsidR="007D50A4" w:rsidRPr="009B1FB1">
        <w:t xml:space="preserve"> </w:t>
      </w:r>
      <w:r w:rsidR="005F21F8">
        <w:t>a potential client</w:t>
      </w:r>
      <w:r w:rsidR="00FB73CF">
        <w:t>,</w:t>
      </w:r>
      <w:r w:rsidR="005F21F8">
        <w:t xml:space="preserve"> </w:t>
      </w:r>
      <w:r w:rsidR="006D3E6E">
        <w:t>if</w:t>
      </w:r>
      <w:r w:rsidR="00FB73CF">
        <w:t xml:space="preserve"> capacity allows,</w:t>
      </w:r>
      <w:r w:rsidR="00FB73CF" w:rsidRPr="009B1FB1">
        <w:t xml:space="preserve"> </w:t>
      </w:r>
      <w:r w:rsidR="007D50A4" w:rsidRPr="009B1FB1">
        <w:t>on the basis of an intake interview. During the interview, a staff member—usually a junior or trainee—first run</w:t>
      </w:r>
      <w:r w:rsidR="00FB73CF">
        <w:t>s</w:t>
      </w:r>
      <w:r w:rsidR="007D50A4" w:rsidRPr="009B1FB1">
        <w:t xml:space="preserve"> through an asylum eligibility checklist: Have</w:t>
      </w:r>
      <w:r w:rsidR="00FB73CF">
        <w:t xml:space="preserve"> </w:t>
      </w:r>
      <w:r w:rsidR="006D3E6E">
        <w:t>you</w:t>
      </w:r>
      <w:r w:rsidR="00FB73CF">
        <w:t xml:space="preserve"> applied for asylum before</w:t>
      </w:r>
      <w:r w:rsidR="007D50A4" w:rsidRPr="009B1FB1">
        <w:t xml:space="preserve">? Have </w:t>
      </w:r>
      <w:r w:rsidR="006D3E6E">
        <w:t>you</w:t>
      </w:r>
      <w:r w:rsidR="007D50A4" w:rsidRPr="009B1FB1">
        <w:t xml:space="preserve"> ever been deported? Do </w:t>
      </w:r>
      <w:r w:rsidR="006D3E6E">
        <w:t>you</w:t>
      </w:r>
      <w:r w:rsidR="007D50A4" w:rsidRPr="009B1FB1">
        <w:t xml:space="preserve"> have a criminal record? </w:t>
      </w:r>
      <w:r w:rsidR="006D3E6E">
        <w:t>Next,</w:t>
      </w:r>
      <w:r w:rsidR="007D50A4" w:rsidRPr="009B1FB1">
        <w:t xml:space="preserve"> </w:t>
      </w:r>
      <w:r w:rsidR="006D3E6E">
        <w:t>they</w:t>
      </w:r>
      <w:r w:rsidR="00FB73CF">
        <w:t xml:space="preserve"> ask</w:t>
      </w:r>
      <w:r w:rsidR="007D50A4" w:rsidRPr="009B1FB1">
        <w:t xml:space="preserve"> about childhood and early sexual </w:t>
      </w:r>
      <w:r w:rsidR="006D3E6E">
        <w:t>encounters</w:t>
      </w:r>
      <w:r w:rsidR="007D50A4" w:rsidRPr="009B1FB1">
        <w:t xml:space="preserve">, same-sex relationships, involvement in LGBT </w:t>
      </w:r>
      <w:r w:rsidR="006D3E6E">
        <w:t xml:space="preserve">groups back </w:t>
      </w:r>
      <w:r w:rsidR="007D50A4" w:rsidRPr="009B1FB1">
        <w:t>home, and experiences of persecution. In effect, the interviewer runs through the official asylum application (Form I-589)</w:t>
      </w:r>
      <w:r w:rsidR="006D3E6E">
        <w:t>,</w:t>
      </w:r>
      <w:r w:rsidR="007D50A4" w:rsidRPr="009B1FB1">
        <w:t xml:space="preserve"> </w:t>
      </w:r>
      <w:r w:rsidR="006D3E6E">
        <w:t>replicating</w:t>
      </w:r>
      <w:r w:rsidR="007D50A4" w:rsidRPr="009B1FB1">
        <w:t xml:space="preserve"> a USCIS asylum interview—albeit with more compassionate framing and less </w:t>
      </w:r>
      <w:r w:rsidR="00FB73CF">
        <w:t>apparent skepticism</w:t>
      </w:r>
      <w:r w:rsidR="007D50A4" w:rsidRPr="009B1FB1">
        <w:t xml:space="preserve">. </w:t>
      </w:r>
      <w:r w:rsidR="00F12CB5" w:rsidRPr="009B1FB1">
        <w:t>T</w:t>
      </w:r>
      <w:r w:rsidR="007D50A4" w:rsidRPr="009B1FB1">
        <w:t xml:space="preserve">he intake can </w:t>
      </w:r>
      <w:r w:rsidR="00F12CB5" w:rsidRPr="009B1FB1">
        <w:t xml:space="preserve">nonetheless </w:t>
      </w:r>
      <w:r w:rsidR="007D50A4" w:rsidRPr="009B1FB1">
        <w:t xml:space="preserve">be traumatizing for </w:t>
      </w:r>
      <w:r w:rsidR="006D3E6E">
        <w:t>the interviewee</w:t>
      </w:r>
      <w:r w:rsidR="007D50A4" w:rsidRPr="009B1FB1">
        <w:t xml:space="preserve">, who </w:t>
      </w:r>
      <w:r w:rsidR="00F12CB5" w:rsidRPr="009B1FB1">
        <w:t>must</w:t>
      </w:r>
      <w:r w:rsidR="007D50A4" w:rsidRPr="009B1FB1">
        <w:t xml:space="preserve"> </w:t>
      </w:r>
      <w:r w:rsidR="00F12CB5" w:rsidRPr="009B1FB1">
        <w:t>relay</w:t>
      </w:r>
      <w:r w:rsidR="006D3E6E">
        <w:t xml:space="preserve"> deeply personal information to a stranger</w:t>
      </w:r>
      <w:r w:rsidR="00F12CB5" w:rsidRPr="009B1FB1">
        <w:t>.</w:t>
      </w:r>
      <w:r w:rsidR="007D50A4" w:rsidRPr="009B1FB1">
        <w:t xml:space="preserve"> </w:t>
      </w:r>
    </w:p>
    <w:p w14:paraId="5067563F" w14:textId="6ADF0175" w:rsidR="007D50A4" w:rsidRPr="009B1FB1" w:rsidRDefault="00FB73CF" w:rsidP="001B3E0D">
      <w:pPr>
        <w:pStyle w:val="PoLAR"/>
      </w:pPr>
      <w:r>
        <w:lastRenderedPageBreak/>
        <w:t>The</w:t>
      </w:r>
      <w:r w:rsidR="007D50A4" w:rsidRPr="009B1FB1">
        <w:t xml:space="preserve"> post-intake debrief is usually limited to </w:t>
      </w:r>
      <w:r w:rsidR="006D3E6E">
        <w:t>an explanation of “next steps</w:t>
      </w:r>
      <w:r w:rsidR="007D50A4" w:rsidRPr="009B1FB1">
        <w:t>”</w:t>
      </w:r>
      <w:r w:rsidR="006D3E6E">
        <w:t>—namely that</w:t>
      </w:r>
      <w:r w:rsidR="007D50A4" w:rsidRPr="009B1FB1">
        <w:t xml:space="preserve"> a senior attorney </w:t>
      </w:r>
      <w:r w:rsidR="006D3E6E">
        <w:t>will review</w:t>
      </w:r>
      <w:r w:rsidR="007D50A4" w:rsidRPr="009B1FB1">
        <w:t xml:space="preserve"> the </w:t>
      </w:r>
      <w:r w:rsidR="00DA3B68">
        <w:t>notes</w:t>
      </w:r>
      <w:r w:rsidR="006D3E6E">
        <w:t xml:space="preserve"> and decide</w:t>
      </w:r>
      <w:r w:rsidR="007D50A4" w:rsidRPr="009B1FB1">
        <w:t xml:space="preserve"> whether or not to take on the</w:t>
      </w:r>
      <w:r w:rsidR="006D3E6E">
        <w:t xml:space="preserve"> client. If they decide against</w:t>
      </w:r>
      <w:r w:rsidR="007D50A4" w:rsidRPr="009B1FB1">
        <w:t xml:space="preserve">, </w:t>
      </w:r>
      <w:r w:rsidR="006D3E6E">
        <w:t>most</w:t>
      </w:r>
      <w:r w:rsidR="00F12CB5" w:rsidRPr="009B1FB1">
        <w:t xml:space="preserve"> organization</w:t>
      </w:r>
      <w:r w:rsidR="006D3E6E">
        <w:t>s</w:t>
      </w:r>
      <w:r w:rsidR="00F12CB5" w:rsidRPr="009B1FB1">
        <w:t xml:space="preserve"> </w:t>
      </w:r>
      <w:r w:rsidR="006D3E6E">
        <w:t xml:space="preserve">will </w:t>
      </w:r>
      <w:r w:rsidR="007D50A4" w:rsidRPr="009B1FB1">
        <w:t>provide a referral</w:t>
      </w:r>
      <w:r w:rsidR="00F12CB5" w:rsidRPr="009B1FB1">
        <w:t>,</w:t>
      </w:r>
      <w:r w:rsidR="007D50A4" w:rsidRPr="009B1FB1">
        <w:t xml:space="preserve"> </w:t>
      </w:r>
      <w:r w:rsidR="00F12CB5" w:rsidRPr="009B1FB1">
        <w:t xml:space="preserve">a </w:t>
      </w:r>
      <w:r w:rsidR="007D50A4" w:rsidRPr="009B1FB1">
        <w:t xml:space="preserve">list of other </w:t>
      </w:r>
      <w:r w:rsidR="006D3E6E">
        <w:t xml:space="preserve">potentially useful </w:t>
      </w:r>
      <w:r w:rsidR="007D50A4" w:rsidRPr="009B1FB1">
        <w:t>organizations, or brief guidance on submitting an asylum</w:t>
      </w:r>
      <w:r w:rsidR="00F12CB5" w:rsidRPr="009B1FB1">
        <w:t xml:space="preserve"> claim without legal </w:t>
      </w:r>
      <w:r w:rsidR="0066173D">
        <w:t>counsel</w:t>
      </w:r>
      <w:r w:rsidR="00F12CB5" w:rsidRPr="009B1FB1">
        <w:t>—</w:t>
      </w:r>
      <w:r w:rsidR="007D50A4" w:rsidRPr="009B1FB1">
        <w:t xml:space="preserve">with the caveat that </w:t>
      </w:r>
      <w:r w:rsidR="0066173D">
        <w:t>qualified</w:t>
      </w:r>
      <w:r w:rsidR="007D50A4" w:rsidRPr="009B1FB1">
        <w:t xml:space="preserve"> representation greatly increases a person’s chance of winning asylum. If they believe a </w:t>
      </w:r>
      <w:r w:rsidR="00DA3B68">
        <w:t>potential claimant</w:t>
      </w:r>
      <w:r w:rsidR="007D50A4" w:rsidRPr="009B1FB1">
        <w:t xml:space="preserve"> will </w:t>
      </w:r>
      <w:r w:rsidR="0066173D">
        <w:t>really struggle</w:t>
      </w:r>
      <w:r w:rsidR="00F12CB5" w:rsidRPr="009B1FB1">
        <w:t xml:space="preserve"> to </w:t>
      </w:r>
      <w:r w:rsidR="0066173D">
        <w:t>obtain</w:t>
      </w:r>
      <w:r w:rsidR="00F12CB5" w:rsidRPr="009B1FB1">
        <w:t xml:space="preserve"> asylum, the attorney</w:t>
      </w:r>
      <w:r w:rsidR="007D50A4" w:rsidRPr="009B1FB1">
        <w:t xml:space="preserve"> may advise against submitting an application</w:t>
      </w:r>
      <w:r w:rsidR="00796971" w:rsidRPr="009B1FB1">
        <w:t xml:space="preserve"> at all</w:t>
      </w:r>
      <w:r w:rsidR="007D50A4" w:rsidRPr="009B1FB1">
        <w:t xml:space="preserve">. Private attorneys </w:t>
      </w:r>
      <w:r w:rsidR="005F21F8">
        <w:t>rarely</w:t>
      </w:r>
      <w:r w:rsidR="00252DB4" w:rsidRPr="009B1FB1">
        <w:t xml:space="preserve"> turn down potential clients</w:t>
      </w:r>
      <w:r w:rsidR="0066173D">
        <w:t>,</w:t>
      </w:r>
      <w:r w:rsidR="00252DB4" w:rsidRPr="009B1FB1">
        <w:t xml:space="preserve"> on any of the above grounds</w:t>
      </w:r>
      <w:r w:rsidR="00FC1AAC">
        <w:t>,</w:t>
      </w:r>
      <w:r w:rsidR="007D50A4" w:rsidRPr="009B1FB1">
        <w:t xml:space="preserve"> </w:t>
      </w:r>
      <w:r w:rsidR="00FC1AAC">
        <w:t xml:space="preserve">privileging </w:t>
      </w:r>
      <w:r w:rsidR="0066173D">
        <w:t>individuals</w:t>
      </w:r>
      <w:r w:rsidR="00FC1AAC">
        <w:t xml:space="preserve"> </w:t>
      </w:r>
      <w:r w:rsidR="0066173D">
        <w:t>who have significant</w:t>
      </w:r>
      <w:r w:rsidR="00FC1AAC">
        <w:t xml:space="preserve"> financial resources. </w:t>
      </w:r>
    </w:p>
    <w:p w14:paraId="5706576E" w14:textId="354A28F3" w:rsidR="007D50A4" w:rsidRPr="009B1FB1" w:rsidRDefault="009C1B2A" w:rsidP="001B3E0D">
      <w:pPr>
        <w:pStyle w:val="PoLAR"/>
      </w:pPr>
      <w:r w:rsidRPr="009B1FB1">
        <w:t xml:space="preserve">Irene Garcia, a </w:t>
      </w:r>
      <w:r w:rsidR="00252DB4" w:rsidRPr="009B1FB1">
        <w:t>junior staff member</w:t>
      </w:r>
      <w:r w:rsidR="007D50A4" w:rsidRPr="009B1FB1">
        <w:t xml:space="preserve"> at a prominent Bay Area LGBT </w:t>
      </w:r>
      <w:r w:rsidR="00AF0590">
        <w:t xml:space="preserve">legal services </w:t>
      </w:r>
      <w:r w:rsidR="007D50A4" w:rsidRPr="009B1FB1">
        <w:t>NGO</w:t>
      </w:r>
      <w:r w:rsidR="00252DB4" w:rsidRPr="009B1FB1">
        <w:t xml:space="preserve">, </w:t>
      </w:r>
      <w:r w:rsidR="00FC1AAC">
        <w:t xml:space="preserve">offered instructive insight into </w:t>
      </w:r>
      <w:r w:rsidR="00FC1AAC" w:rsidRPr="009B1FB1">
        <w:t xml:space="preserve">how </w:t>
      </w:r>
      <w:r w:rsidR="000471B0">
        <w:t>her</w:t>
      </w:r>
      <w:r w:rsidR="00FC1AAC">
        <w:t xml:space="preserve"> organization</w:t>
      </w:r>
      <w:r w:rsidR="00FC1AAC" w:rsidRPr="009B1FB1">
        <w:t xml:space="preserve"> decided which cases to accept</w:t>
      </w:r>
      <w:r w:rsidR="007D50A4" w:rsidRPr="009B1FB1">
        <w:t>:</w:t>
      </w:r>
    </w:p>
    <w:p w14:paraId="3D6F9A12" w14:textId="577731AA" w:rsidR="007D50A4" w:rsidRPr="009B1FB1" w:rsidRDefault="00AF0590" w:rsidP="000471B0">
      <w:pPr>
        <w:pStyle w:val="Quote"/>
      </w:pPr>
      <w:r>
        <w:t>F</w:t>
      </w:r>
      <w:r w:rsidR="007D50A4" w:rsidRPr="009B1FB1">
        <w:t xml:space="preserve">rom </w:t>
      </w:r>
      <w:r>
        <w:t>[the intake]</w:t>
      </w:r>
      <w:r w:rsidR="007D50A4" w:rsidRPr="009B1FB1">
        <w:t>, I will do</w:t>
      </w:r>
      <w:r>
        <w:t>,</w:t>
      </w:r>
      <w:r w:rsidR="007D50A4" w:rsidRPr="009B1FB1">
        <w:t xml:space="preserve"> like</w:t>
      </w:r>
      <w:r>
        <w:t>,</w:t>
      </w:r>
      <w:r w:rsidR="007D50A4" w:rsidRPr="009B1FB1">
        <w:t xml:space="preserve"> a small memo </w:t>
      </w:r>
      <w:r>
        <w:t>for the immigration project, then</w:t>
      </w:r>
      <w:r w:rsidR="007D50A4" w:rsidRPr="009B1FB1">
        <w:t xml:space="preserve"> they will say, "Oh, this is a very strong case, we'll like to take it on," or, "Oh, this has some kind of complicated issues." I mean if they've been deported in the past, if there’s like a bar, then it will go through our pro bono attorney who'll say, "Better not touch this one, there's not really much we can do."</w:t>
      </w:r>
    </w:p>
    <w:p w14:paraId="7D768BB6" w14:textId="23C3D8ED" w:rsidR="007D50A4" w:rsidRPr="009B1FB1" w:rsidRDefault="00FC1AAC" w:rsidP="001C0039">
      <w:pPr>
        <w:pStyle w:val="PoLAR"/>
      </w:pPr>
      <w:r>
        <w:lastRenderedPageBreak/>
        <w:t>I was struck by how Irene</w:t>
      </w:r>
      <w:r w:rsidR="007D50A4" w:rsidRPr="009B1FB1">
        <w:t xml:space="preserve"> framed </w:t>
      </w:r>
      <w:r w:rsidR="00796971" w:rsidRPr="009B1FB1">
        <w:t>“strong”</w:t>
      </w:r>
      <w:r w:rsidR="00252DB4" w:rsidRPr="009B1FB1">
        <w:t xml:space="preserve"> </w:t>
      </w:r>
      <w:r>
        <w:t xml:space="preserve">cases </w:t>
      </w:r>
      <w:r w:rsidR="00252DB4" w:rsidRPr="009B1FB1">
        <w:t xml:space="preserve">in opposition to </w:t>
      </w:r>
      <w:r w:rsidR="00796971" w:rsidRPr="009B1FB1">
        <w:t>“</w:t>
      </w:r>
      <w:r w:rsidR="00252DB4" w:rsidRPr="009B1FB1">
        <w:t>complicated</w:t>
      </w:r>
      <w:r w:rsidR="00796971" w:rsidRPr="009B1FB1">
        <w:t>”</w:t>
      </w:r>
      <w:r w:rsidR="00AF0590">
        <w:t xml:space="preserve"> </w:t>
      </w:r>
      <w:r>
        <w:t>ones</w:t>
      </w:r>
      <w:r w:rsidR="00252DB4" w:rsidRPr="009B1FB1">
        <w:t xml:space="preserve"> </w:t>
      </w:r>
      <w:r w:rsidR="007D50A4" w:rsidRPr="009B1FB1">
        <w:t>that he</w:t>
      </w:r>
      <w:r w:rsidR="00252DB4" w:rsidRPr="009B1FB1">
        <w:t xml:space="preserve">r organization did not want to </w:t>
      </w:r>
      <w:r>
        <w:t>“</w:t>
      </w:r>
      <w:r w:rsidR="00252DB4" w:rsidRPr="009B1FB1">
        <w:t>touch.</w:t>
      </w:r>
      <w:r>
        <w:t>”</w:t>
      </w:r>
      <w:r w:rsidR="007D50A4" w:rsidRPr="009B1FB1">
        <w:t xml:space="preserve"> </w:t>
      </w:r>
      <w:r w:rsidR="009C1B2A" w:rsidRPr="009B1FB1">
        <w:t xml:space="preserve">Some of my interlocutors had </w:t>
      </w:r>
      <w:r w:rsidR="00706B68" w:rsidRPr="009B1FB1">
        <w:t>technically</w:t>
      </w:r>
      <w:r w:rsidR="00796971" w:rsidRPr="009B1FB1">
        <w:t xml:space="preserve"> complex cases: </w:t>
      </w:r>
      <w:r w:rsidR="009C1B2A" w:rsidRPr="009B1FB1">
        <w:t>they</w:t>
      </w:r>
      <w:r w:rsidR="00796971" w:rsidRPr="009B1FB1">
        <w:t xml:space="preserve"> had been deported, </w:t>
      </w:r>
      <w:r w:rsidR="0066173D">
        <w:t>or</w:t>
      </w:r>
      <w:r w:rsidR="00796971" w:rsidRPr="009B1FB1">
        <w:t xml:space="preserve"> </w:t>
      </w:r>
      <w:r w:rsidR="0066173D">
        <w:t xml:space="preserve">had </w:t>
      </w:r>
      <w:r w:rsidR="009C1B2A" w:rsidRPr="009B1FB1">
        <w:t>married someone of the</w:t>
      </w:r>
      <w:r>
        <w:t xml:space="preserve"> opposite-sex, or </w:t>
      </w:r>
      <w:r w:rsidR="00796971" w:rsidRPr="009B1FB1">
        <w:t xml:space="preserve">had missed the official </w:t>
      </w:r>
      <w:r>
        <w:t xml:space="preserve">one-year </w:t>
      </w:r>
      <w:r w:rsidR="00796971" w:rsidRPr="009B1FB1">
        <w:t xml:space="preserve">filing deadline. </w:t>
      </w:r>
      <w:r w:rsidR="00706B68" w:rsidRPr="009B1FB1">
        <w:t>T</w:t>
      </w:r>
      <w:r w:rsidR="007D50A4" w:rsidRPr="009B1FB1">
        <w:t>heir claims were nonetheless compelling</w:t>
      </w:r>
      <w:r w:rsidR="001C0039">
        <w:t xml:space="preserve">, and </w:t>
      </w:r>
      <w:r>
        <w:t xml:space="preserve">well-supported. I had also </w:t>
      </w:r>
      <w:r w:rsidR="0066173D">
        <w:t>seen</w:t>
      </w:r>
      <w:r w:rsidR="007D50A4" w:rsidRPr="009B1FB1">
        <w:t xml:space="preserve"> </w:t>
      </w:r>
      <w:r w:rsidR="0066173D">
        <w:t xml:space="preserve">interlocutors struggle </w:t>
      </w:r>
      <w:r w:rsidR="0066173D" w:rsidRPr="009B1FB1">
        <w:t>to articulate t</w:t>
      </w:r>
      <w:r w:rsidR="0066173D">
        <w:t>heir experiences, or to recall</w:t>
      </w:r>
      <w:r w:rsidR="0066173D" w:rsidRPr="009B1FB1">
        <w:t xml:space="preserve"> </w:t>
      </w:r>
      <w:r w:rsidR="0066173D">
        <w:t xml:space="preserve">precise dates and event </w:t>
      </w:r>
      <w:r w:rsidR="0066173D" w:rsidRPr="009B1FB1">
        <w:t>details</w:t>
      </w:r>
      <w:r w:rsidR="0066173D">
        <w:t xml:space="preserve"> during</w:t>
      </w:r>
      <w:r w:rsidR="001C0039">
        <w:t xml:space="preserve"> </w:t>
      </w:r>
      <w:r w:rsidR="007D50A4" w:rsidRPr="009B1FB1">
        <w:t xml:space="preserve">intake </w:t>
      </w:r>
      <w:r w:rsidR="001C0039">
        <w:t>interviews</w:t>
      </w:r>
      <w:r w:rsidR="007D50A4" w:rsidRPr="009B1FB1">
        <w:t xml:space="preserve">. I wondered if Irene’s organization would </w:t>
      </w:r>
      <w:r w:rsidR="009C1B2A" w:rsidRPr="009B1FB1">
        <w:t>take on such</w:t>
      </w:r>
      <w:r w:rsidR="007D50A4" w:rsidRPr="009B1FB1">
        <w:t xml:space="preserve"> cases. </w:t>
      </w:r>
      <w:r w:rsidR="00796971" w:rsidRPr="009B1FB1">
        <w:t xml:space="preserve">As we continued talking, </w:t>
      </w:r>
      <w:r w:rsidR="007D50A4" w:rsidRPr="009B1FB1">
        <w:t xml:space="preserve">I </w:t>
      </w:r>
      <w:r w:rsidR="00796971" w:rsidRPr="009B1FB1">
        <w:t>consider</w:t>
      </w:r>
      <w:r w:rsidR="0066173D">
        <w:t>ed</w:t>
      </w:r>
      <w:r w:rsidR="00796971" w:rsidRPr="009B1FB1">
        <w:t xml:space="preserve"> the </w:t>
      </w:r>
      <w:r>
        <w:t>“</w:t>
      </w:r>
      <w:r w:rsidR="00796971" w:rsidRPr="009B1FB1">
        <w:t>success</w:t>
      </w:r>
      <w:r w:rsidR="007D50A4" w:rsidRPr="009B1FB1">
        <w:t xml:space="preserve"> rates</w:t>
      </w:r>
      <w:r>
        <w:t>”</w:t>
      </w:r>
      <w:r w:rsidR="007D50A4" w:rsidRPr="009B1FB1">
        <w:t xml:space="preserve"> I had seen posted by </w:t>
      </w:r>
      <w:r>
        <w:t xml:space="preserve">LGBT asylum </w:t>
      </w:r>
      <w:r w:rsidR="007D50A4" w:rsidRPr="009B1FB1">
        <w:t>organizations</w:t>
      </w:r>
      <w:r w:rsidR="00796971" w:rsidRPr="009B1FB1">
        <w:t xml:space="preserve"> in a new light</w:t>
      </w:r>
      <w:r w:rsidR="007D50A4" w:rsidRPr="009B1FB1">
        <w:t>:</w:t>
      </w:r>
    </w:p>
    <w:p w14:paraId="2F800493" w14:textId="2B65B844" w:rsidR="007D50A4" w:rsidRPr="009B1FB1" w:rsidRDefault="0066173D" w:rsidP="000471B0">
      <w:pPr>
        <w:pStyle w:val="Quote"/>
      </w:pPr>
      <w:r>
        <w:rPr>
          <w:i/>
        </w:rPr>
        <w:t>Siobhán</w:t>
      </w:r>
      <w:r w:rsidR="007D50A4" w:rsidRPr="009B1FB1">
        <w:rPr>
          <w:i/>
        </w:rPr>
        <w:t xml:space="preserve">: </w:t>
      </w:r>
      <w:r w:rsidR="007D50A4" w:rsidRPr="009B1FB1">
        <w:t xml:space="preserve">[when I see] the percentages granted, like a </w:t>
      </w:r>
      <w:r w:rsidR="00796971" w:rsidRPr="009B1FB1">
        <w:t>ninety-eight</w:t>
      </w:r>
      <w:r w:rsidR="007D50A4" w:rsidRPr="009B1FB1">
        <w:t xml:space="preserve"> percent success rate, I’m thinking how there's a maybe a filter system there, where [organizations] don't take on the cases that th</w:t>
      </w:r>
      <w:r w:rsidR="00FC1AAC">
        <w:t>ey think are going to lose. W</w:t>
      </w:r>
      <w:r w:rsidR="007D50A4" w:rsidRPr="009B1FB1">
        <w:t xml:space="preserve">ould you say that </w:t>
      </w:r>
      <w:r w:rsidR="00AA17A2" w:rsidRPr="009B1FB1">
        <w:t xml:space="preserve">[accepting </w:t>
      </w:r>
      <w:r w:rsidR="00FC1AAC">
        <w:t>clients</w:t>
      </w:r>
      <w:r w:rsidR="00AA17A2" w:rsidRPr="009B1FB1">
        <w:t xml:space="preserve"> is] </w:t>
      </w:r>
      <w:r w:rsidR="007D50A4" w:rsidRPr="009B1FB1">
        <w:t xml:space="preserve">about </w:t>
      </w:r>
      <w:r w:rsidR="00AA17A2" w:rsidRPr="009B1FB1">
        <w:t>“</w:t>
      </w:r>
      <w:r w:rsidR="007D50A4" w:rsidRPr="009B1FB1">
        <w:t>winnable</w:t>
      </w:r>
      <w:r w:rsidR="00AA17A2" w:rsidRPr="009B1FB1">
        <w:t>”</w:t>
      </w:r>
      <w:r w:rsidR="007D50A4" w:rsidRPr="009B1FB1">
        <w:t xml:space="preserve"> cases, in part? </w:t>
      </w:r>
    </w:p>
    <w:p w14:paraId="5D3C3F96" w14:textId="466327CA" w:rsidR="007D50A4" w:rsidRPr="009B1FB1" w:rsidRDefault="007D50A4" w:rsidP="000471B0">
      <w:pPr>
        <w:pStyle w:val="Quote"/>
      </w:pPr>
      <w:r w:rsidRPr="009B1FB1">
        <w:rPr>
          <w:i/>
        </w:rPr>
        <w:t>Irene</w:t>
      </w:r>
      <w:r w:rsidRPr="009B1FB1">
        <w:t>: I don't know if I can answer that, to be honest. Only because I don't make the final decision. But, I mean, a lot of our cases-- or some of our cases, not a lot, but some of the cases that we take on, we have possible doubts about. We're like, "Oh, this will be either</w:t>
      </w:r>
      <w:r w:rsidR="000F2495">
        <w:t>/</w:t>
      </w:r>
      <w:r w:rsidRPr="009B1FB1">
        <w:t xml:space="preserve">or. I guess we'll just run with it and see what happens. We'll </w:t>
      </w:r>
      <w:r w:rsidRPr="009B1FB1">
        <w:lastRenderedPageBreak/>
        <w:t xml:space="preserve">just have to fight tooth and nail to extend our ground." I think a really important thing to highlight is that in the 20 years </w:t>
      </w:r>
      <w:r w:rsidR="009C1B2A" w:rsidRPr="009B1FB1">
        <w:t xml:space="preserve">[our organization] </w:t>
      </w:r>
      <w:r w:rsidRPr="009B1FB1">
        <w:t xml:space="preserve">has been here, we've never lost a case. It's been an amazing run. </w:t>
      </w:r>
    </w:p>
    <w:p w14:paraId="66E6B626" w14:textId="75FE3E46" w:rsidR="007D50A4" w:rsidRPr="009B1FB1" w:rsidRDefault="00580B16" w:rsidP="001B3E0D">
      <w:pPr>
        <w:pStyle w:val="PoLAR"/>
      </w:pPr>
      <w:r>
        <w:t>I did not doubt that t</w:t>
      </w:r>
      <w:r w:rsidR="00AA17A2" w:rsidRPr="009B1FB1">
        <w:t xml:space="preserve">he attorneys with whom Irene worked advocated </w:t>
      </w:r>
      <w:r>
        <w:t xml:space="preserve">sincerely for their clients. </w:t>
      </w:r>
      <w:r w:rsidR="0066173D">
        <w:t>Yet h</w:t>
      </w:r>
      <w:r>
        <w:t xml:space="preserve">er acknowledgment that </w:t>
      </w:r>
      <w:r w:rsidR="00AA17A2" w:rsidRPr="009B1FB1">
        <w:t xml:space="preserve">they took on </w:t>
      </w:r>
      <w:r w:rsidRPr="009B1FB1">
        <w:t xml:space="preserve">only </w:t>
      </w:r>
      <w:r w:rsidR="00AA17A2" w:rsidRPr="009B1FB1">
        <w:t xml:space="preserve">“some… not a lot” </w:t>
      </w:r>
      <w:r w:rsidR="0066173D">
        <w:t xml:space="preserve">of </w:t>
      </w:r>
      <w:r>
        <w:t>cases that</w:t>
      </w:r>
      <w:r w:rsidR="00AA17A2" w:rsidRPr="009B1FB1">
        <w:t xml:space="preserve"> </w:t>
      </w:r>
      <w:r w:rsidR="0066173D">
        <w:t xml:space="preserve">they </w:t>
      </w:r>
      <w:r w:rsidR="00AA17A2" w:rsidRPr="009B1FB1">
        <w:t xml:space="preserve">“had doubts about” </w:t>
      </w:r>
      <w:r>
        <w:t xml:space="preserve">winning revealed that likelihood of success factored highly in their decision-making. </w:t>
      </w:r>
      <w:r w:rsidR="007D50A4" w:rsidRPr="009B1FB1">
        <w:t xml:space="preserve">Other </w:t>
      </w:r>
      <w:r w:rsidR="000F2495">
        <w:t>specialist legal service providers</w:t>
      </w:r>
      <w:r w:rsidR="007D50A4" w:rsidRPr="009B1FB1">
        <w:t xml:space="preserve"> had similarly amazing runs. </w:t>
      </w:r>
      <w:r w:rsidR="00DF572A" w:rsidRPr="009B1FB1">
        <w:t>RIC</w:t>
      </w:r>
      <w:r>
        <w:t>, for example, reported</w:t>
      </w:r>
      <w:r w:rsidR="007D50A4" w:rsidRPr="009B1FB1">
        <w:t xml:space="preserve"> </w:t>
      </w:r>
      <w:r w:rsidR="000F2495">
        <w:t>a</w:t>
      </w:r>
      <w:r w:rsidR="007D50A4" w:rsidRPr="009B1FB1">
        <w:t xml:space="preserve"> </w:t>
      </w:r>
      <w:r w:rsidR="002D275D" w:rsidRPr="009B1FB1">
        <w:t>ninety-nine</w:t>
      </w:r>
      <w:r w:rsidR="007D50A4" w:rsidRPr="009B1FB1">
        <w:t xml:space="preserve"> percent </w:t>
      </w:r>
      <w:r w:rsidR="0066173D">
        <w:t>asylum</w:t>
      </w:r>
      <w:r>
        <w:t xml:space="preserve"> “win rate.” </w:t>
      </w:r>
      <w:r w:rsidR="009C1B2A" w:rsidRPr="009B1FB1">
        <w:t>Its</w:t>
      </w:r>
      <w:r w:rsidR="007D50A4" w:rsidRPr="009B1FB1">
        <w:t xml:space="preserve"> </w:t>
      </w:r>
      <w:r w:rsidR="002D275D" w:rsidRPr="009B1FB1">
        <w:t xml:space="preserve">website </w:t>
      </w:r>
      <w:r>
        <w:t>further</w:t>
      </w:r>
      <w:r w:rsidR="00AF0590">
        <w:t xml:space="preserve"> stated</w:t>
      </w:r>
      <w:r w:rsidR="007D50A4" w:rsidRPr="009B1FB1">
        <w:t xml:space="preserve"> that</w:t>
      </w:r>
      <w:r w:rsidR="0066173D">
        <w:t>, while some cases</w:t>
      </w:r>
      <w:r w:rsidR="007D50A4" w:rsidRPr="009B1FB1">
        <w:t xml:space="preserve"> </w:t>
      </w:r>
      <w:r w:rsidR="0066173D">
        <w:t xml:space="preserve">were </w:t>
      </w:r>
      <w:r>
        <w:t>refer</w:t>
      </w:r>
      <w:r w:rsidR="00AF0590">
        <w:t>red</w:t>
      </w:r>
      <w:r w:rsidR="007D50A4" w:rsidRPr="009B1FB1">
        <w:t xml:space="preserve"> </w:t>
      </w:r>
      <w:r w:rsidR="0066173D">
        <w:t>elsewhere, RIC</w:t>
      </w:r>
      <w:r w:rsidR="007D50A4" w:rsidRPr="009B1FB1">
        <w:t xml:space="preserve"> </w:t>
      </w:r>
      <w:r w:rsidR="00AF0590">
        <w:t>handled</w:t>
      </w:r>
      <w:r w:rsidR="007D50A4" w:rsidRPr="009B1FB1">
        <w:t xml:space="preserve"> “the most difficult cases” i</w:t>
      </w:r>
      <w:r w:rsidR="00AF0590">
        <w:t>n-house. It</w:t>
      </w:r>
      <w:r w:rsidR="007D50A4" w:rsidRPr="009B1FB1">
        <w:t xml:space="preserve"> </w:t>
      </w:r>
      <w:r w:rsidR="0066173D">
        <w:t>did</w:t>
      </w:r>
      <w:r w:rsidR="007D50A4" w:rsidRPr="009B1FB1">
        <w:t xml:space="preserve"> not </w:t>
      </w:r>
      <w:r>
        <w:t>reveal</w:t>
      </w:r>
      <w:r w:rsidR="007D50A4" w:rsidRPr="009B1FB1">
        <w:t xml:space="preserve"> </w:t>
      </w:r>
      <w:r>
        <w:t xml:space="preserve">how many </w:t>
      </w:r>
      <w:r w:rsidR="00AF0590">
        <w:t>people</w:t>
      </w:r>
      <w:r w:rsidR="00B06C0E">
        <w:t xml:space="preserve"> it declined</w:t>
      </w:r>
      <w:r w:rsidR="007D50A4" w:rsidRPr="009B1FB1">
        <w:t xml:space="preserve"> </w:t>
      </w:r>
      <w:r w:rsidR="00B06C0E">
        <w:t xml:space="preserve">to </w:t>
      </w:r>
      <w:r w:rsidR="007D50A4" w:rsidRPr="009B1FB1">
        <w:t xml:space="preserve">represent. At first blush, </w:t>
      </w:r>
      <w:r w:rsidR="002D275D" w:rsidRPr="009B1FB1">
        <w:t>such</w:t>
      </w:r>
      <w:r w:rsidR="007D50A4" w:rsidRPr="009B1FB1">
        <w:t xml:space="preserve"> figure</w:t>
      </w:r>
      <w:r w:rsidR="002D275D" w:rsidRPr="009B1FB1">
        <w:t>s</w:t>
      </w:r>
      <w:r w:rsidR="007D50A4" w:rsidRPr="009B1FB1">
        <w:t xml:space="preserve"> seem commendable, far outstripping the success rate of asylum claims in general.</w:t>
      </w:r>
      <w:r w:rsidR="000F2495" w:rsidRPr="009B1FB1">
        <w:rPr>
          <w:vertAlign w:val="superscript"/>
        </w:rPr>
        <w:endnoteReference w:id="2"/>
      </w:r>
      <w:r w:rsidR="000F2495" w:rsidRPr="009B1FB1">
        <w:t xml:space="preserve"> </w:t>
      </w:r>
      <w:r w:rsidR="002D275D" w:rsidRPr="009B1FB1">
        <w:t>In light of Irene’s comments, however, organizations’ near-perfect records appear to be as much the product of exceptional legal representation as they</w:t>
      </w:r>
      <w:r w:rsidR="00B06C0E">
        <w:t xml:space="preserve"> are </w:t>
      </w:r>
      <w:r w:rsidR="002D275D" w:rsidRPr="009B1FB1">
        <w:t>a predictable outcome of a weighted client-selection process.</w:t>
      </w:r>
    </w:p>
    <w:p w14:paraId="695AE0F8" w14:textId="26B87468" w:rsidR="005863B7" w:rsidRDefault="002D275D" w:rsidP="001B3E0D">
      <w:pPr>
        <w:pStyle w:val="PoLAR"/>
      </w:pPr>
      <w:r w:rsidRPr="009B1FB1">
        <w:t>T</w:t>
      </w:r>
      <w:r w:rsidR="007D50A4" w:rsidRPr="009B1FB1">
        <w:t>h</w:t>
      </w:r>
      <w:r w:rsidRPr="009B1FB1">
        <w:t xml:space="preserve">ere is therefore a </w:t>
      </w:r>
      <w:r w:rsidR="007D50A4" w:rsidRPr="009B1FB1">
        <w:t>circular logic to the statistical evidence that a person is more like</w:t>
      </w:r>
      <w:r w:rsidRPr="009B1FB1">
        <w:t>ly</w:t>
      </w:r>
      <w:r w:rsidR="007D50A4" w:rsidRPr="009B1FB1">
        <w:t xml:space="preserve"> to win asylum if they have legal representation: if attorneys are accepting </w:t>
      </w:r>
      <w:r w:rsidR="00093427">
        <w:t xml:space="preserve">the </w:t>
      </w:r>
      <w:r w:rsidR="007D50A4" w:rsidRPr="009B1FB1">
        <w:t xml:space="preserve">cases </w:t>
      </w:r>
      <w:r w:rsidR="00F427DD">
        <w:t>most</w:t>
      </w:r>
      <w:r w:rsidR="00580B16">
        <w:t xml:space="preserve"> likely to be successful, high win rates</w:t>
      </w:r>
      <w:r w:rsidR="007D50A4" w:rsidRPr="009B1FB1">
        <w:t xml:space="preserve"> are effectively guaranteed.</w:t>
      </w:r>
      <w:r w:rsidRPr="009B1FB1">
        <w:t xml:space="preserve"> </w:t>
      </w:r>
      <w:r w:rsidR="00093427">
        <w:lastRenderedPageBreak/>
        <w:t>A</w:t>
      </w:r>
      <w:r w:rsidRPr="009B1FB1">
        <w:t xml:space="preserve">s </w:t>
      </w:r>
      <w:r w:rsidR="00093427">
        <w:t>“</w:t>
      </w:r>
      <w:r w:rsidRPr="009B1FB1">
        <w:t>winnability</w:t>
      </w:r>
      <w:r w:rsidR="00093427">
        <w:t>”</w:t>
      </w:r>
      <w:r w:rsidRPr="009B1FB1">
        <w:t xml:space="preserve"> is determined by how closely a case meets established legal </w:t>
      </w:r>
      <w:r w:rsidR="00580B16">
        <w:t>norms</w:t>
      </w:r>
      <w:r w:rsidRPr="009B1FB1">
        <w:t xml:space="preserve">, it follows that </w:t>
      </w:r>
      <w:r w:rsidR="0057409A" w:rsidRPr="009B1FB1">
        <w:t xml:space="preserve">specialist pro bono </w:t>
      </w:r>
      <w:r w:rsidRPr="009B1FB1">
        <w:t xml:space="preserve">attorneys </w:t>
      </w:r>
      <w:r w:rsidR="0057409A" w:rsidRPr="009B1FB1">
        <w:t>advocating for LGBT asylum seeker</w:t>
      </w:r>
      <w:r w:rsidR="00580B16">
        <w:t>s</w:t>
      </w:r>
      <w:r w:rsidR="0057409A" w:rsidRPr="009B1FB1">
        <w:t xml:space="preserve"> </w:t>
      </w:r>
      <w:r w:rsidRPr="009B1FB1">
        <w:t xml:space="preserve">are </w:t>
      </w:r>
      <w:r w:rsidR="0057409A" w:rsidRPr="009B1FB1">
        <w:t xml:space="preserve">more </w:t>
      </w:r>
      <w:r w:rsidRPr="009B1FB1">
        <w:t xml:space="preserve">regularly choosing to comply with, rather than </w:t>
      </w:r>
      <w:r w:rsidR="009C1B2A" w:rsidRPr="009B1FB1">
        <w:t>challenge</w:t>
      </w:r>
      <w:r w:rsidR="00580B16">
        <w:t>,</w:t>
      </w:r>
      <w:r w:rsidRPr="009B1FB1">
        <w:t xml:space="preserve"> the status quo of USCIS asylum adjudication mechanisms</w:t>
      </w:r>
      <w:r w:rsidR="009C1B2A" w:rsidRPr="009B1FB1">
        <w:t xml:space="preserve"> </w:t>
      </w:r>
      <w:r w:rsidR="0057409A" w:rsidRPr="009B1FB1">
        <w:t xml:space="preserve">that have been repeatedly found to discriminate against </w:t>
      </w:r>
      <w:r w:rsidR="00580B16">
        <w:t>non-normatively LGBT claimants</w:t>
      </w:r>
      <w:r w:rsidR="00A2685E" w:rsidRPr="009B1FB1">
        <w:rPr>
          <w:rFonts w:eastAsia="Arial Unicode MS"/>
          <w:u w:color="000000"/>
        </w:rPr>
        <w:t xml:space="preserve"> (</w:t>
      </w:r>
      <w:r w:rsidR="004730AE">
        <w:rPr>
          <w:rFonts w:eastAsia="Arial Unicode MS"/>
          <w:u w:color="000000"/>
        </w:rPr>
        <w:t xml:space="preserve">Berger 2009; </w:t>
      </w:r>
      <w:r w:rsidR="006031BA">
        <w:rPr>
          <w:rFonts w:eastAsia="Arial Unicode MS"/>
          <w:u w:color="000000"/>
        </w:rPr>
        <w:t>Rehaag 2009</w:t>
      </w:r>
      <w:r w:rsidR="00A2685E" w:rsidRPr="009B1FB1">
        <w:rPr>
          <w:rFonts w:eastAsia="Arial Unicode MS"/>
          <w:u w:color="000000"/>
        </w:rPr>
        <w:t>)</w:t>
      </w:r>
      <w:r w:rsidRPr="009B1FB1">
        <w:t>.</w:t>
      </w:r>
    </w:p>
    <w:p w14:paraId="200EB6AD" w14:textId="30732240" w:rsidR="007D50A4" w:rsidRPr="009B1FB1" w:rsidRDefault="007D50A4" w:rsidP="001B3E0D">
      <w:pPr>
        <w:pStyle w:val="PoLAR"/>
      </w:pPr>
      <w:r w:rsidRPr="009B1FB1">
        <w:t>Carol</w:t>
      </w:r>
      <w:r w:rsidR="003C2B15" w:rsidRPr="009B1FB1">
        <w:t xml:space="preserve"> Rotman</w:t>
      </w:r>
      <w:r w:rsidRPr="009B1FB1">
        <w:t xml:space="preserve">, an experienced immigration attorney and salaried </w:t>
      </w:r>
      <w:r w:rsidR="00AF0590" w:rsidRPr="009B1FB1">
        <w:t xml:space="preserve">staff </w:t>
      </w:r>
      <w:r w:rsidR="00AF0590">
        <w:t>member</w:t>
      </w:r>
      <w:r w:rsidRPr="009B1FB1">
        <w:t xml:space="preserve"> </w:t>
      </w:r>
      <w:r w:rsidR="00AF0590">
        <w:t>of</w:t>
      </w:r>
      <w:r w:rsidRPr="009B1FB1">
        <w:t xml:space="preserve"> an East Coast pro bono </w:t>
      </w:r>
      <w:r w:rsidR="00312B50">
        <w:t xml:space="preserve">legal </w:t>
      </w:r>
      <w:r w:rsidRPr="009B1FB1">
        <w:t xml:space="preserve">organization, offered </w:t>
      </w:r>
      <w:r w:rsidR="00312B50">
        <w:t xml:space="preserve">me </w:t>
      </w:r>
      <w:r w:rsidRPr="009B1FB1">
        <w:t xml:space="preserve">a </w:t>
      </w:r>
      <w:r w:rsidR="00487903" w:rsidRPr="009B1FB1">
        <w:t>candid</w:t>
      </w:r>
      <w:r w:rsidRPr="009B1FB1">
        <w:t xml:space="preserve"> assessment of the subjective contours of the client selection process:</w:t>
      </w:r>
    </w:p>
    <w:p w14:paraId="1C9744D9" w14:textId="4B56445C" w:rsidR="007D50A4" w:rsidRPr="009B1FB1" w:rsidRDefault="00FE5A41" w:rsidP="00F53E60">
      <w:pPr>
        <w:pStyle w:val="Quote"/>
      </w:pPr>
      <w:r>
        <w:t>I can only take about ten percent</w:t>
      </w:r>
      <w:r w:rsidR="007D50A4" w:rsidRPr="009B1FB1">
        <w:t xml:space="preserve"> of cases that come to me. Even people I believe, I can't tak</w:t>
      </w:r>
      <w:r>
        <w:t>e all the cases. […] I'd say eighty percent</w:t>
      </w:r>
      <w:r w:rsidR="007D50A4" w:rsidRPr="009B1FB1">
        <w:t xml:space="preserve"> of them I b</w:t>
      </w:r>
      <w:r>
        <w:t xml:space="preserve">elieve their case, maybe even ninety. </w:t>
      </w:r>
      <w:r w:rsidR="007D50A4" w:rsidRPr="009B1FB1">
        <w:t>I'm just throwing out figures here. Maybe one out of ten I turn away because I don't think they have a case, and then the rest I turn away because I can't do all the cases, and I try and place as many as I can with other organizations.</w:t>
      </w:r>
      <w:r w:rsidR="0057409A" w:rsidRPr="009B1FB1">
        <w:t xml:space="preserve"> […] S</w:t>
      </w:r>
      <w:r w:rsidR="007D50A4" w:rsidRPr="009B1FB1">
        <w:t xml:space="preserve">ometimes I just have to choose [a] case because someone's living in a homeless shelter and then another person isn't. I just have to figure out who's the most vulnerable. And then also, I'm a human being too. Sometimes I just take cases </w:t>
      </w:r>
      <w:r w:rsidR="007D50A4" w:rsidRPr="009B1FB1">
        <w:lastRenderedPageBreak/>
        <w:t>because I feel-- I just like the case. I really want to help this person, I like them. I like the particular cause that it's serving</w:t>
      </w:r>
      <w:r w:rsidR="00F61236">
        <w:t>.</w:t>
      </w:r>
      <w:r w:rsidR="007D50A4" w:rsidRPr="009B1FB1">
        <w:t xml:space="preserve"> But</w:t>
      </w:r>
      <w:r w:rsidR="00F61236">
        <w:t xml:space="preserve">, yeah, I turn away probably </w:t>
      </w:r>
      <w:r w:rsidR="00312B50">
        <w:t>ninety</w:t>
      </w:r>
      <w:r w:rsidR="00F61236">
        <w:t xml:space="preserve"> percent</w:t>
      </w:r>
      <w:r w:rsidR="007D50A4" w:rsidRPr="009B1FB1">
        <w:t xml:space="preserve"> of the cases that come i</w:t>
      </w:r>
      <w:r w:rsidR="00F61236">
        <w:t xml:space="preserve">n. And then I'd say probably </w:t>
      </w:r>
      <w:r w:rsidR="00312B50">
        <w:t>fifty</w:t>
      </w:r>
      <w:r w:rsidR="00F61236">
        <w:t xml:space="preserve"> percent</w:t>
      </w:r>
      <w:r w:rsidR="007D50A4" w:rsidRPr="009B1FB1">
        <w:t xml:space="preserve"> of those that I turn away, I'm able to place somewhere. </w:t>
      </w:r>
    </w:p>
    <w:p w14:paraId="7D1D2069" w14:textId="6145D504" w:rsidR="009C1B2A" w:rsidRPr="009B1FB1" w:rsidRDefault="009C1B2A" w:rsidP="000F2495">
      <w:pPr>
        <w:pStyle w:val="PoLAR"/>
        <w:rPr>
          <w:i/>
        </w:rPr>
      </w:pPr>
      <w:r w:rsidRPr="009B1FB1">
        <w:t xml:space="preserve">Throughout our conversation, Carol stressed that she was </w:t>
      </w:r>
      <w:r w:rsidR="00312B50">
        <w:t>speaking from personal experience,</w:t>
      </w:r>
      <w:r w:rsidRPr="009B1FB1">
        <w:t xml:space="preserve"> </w:t>
      </w:r>
      <w:r w:rsidR="00487903" w:rsidRPr="009B1FB1">
        <w:t xml:space="preserve">not for other attorneys. I </w:t>
      </w:r>
      <w:r w:rsidRPr="009B1FB1">
        <w:t>heard other legal adv</w:t>
      </w:r>
      <w:r w:rsidR="00F61236">
        <w:t>ocates draw similar conclusions,</w:t>
      </w:r>
      <w:r w:rsidR="00312B50">
        <w:t xml:space="preserve"> however,</w:t>
      </w:r>
      <w:r w:rsidR="00F61236">
        <w:t xml:space="preserve"> albeit </w:t>
      </w:r>
      <w:r w:rsidRPr="009B1FB1">
        <w:t>more oblique</w:t>
      </w:r>
      <w:r w:rsidR="00F61236">
        <w:t>ly</w:t>
      </w:r>
      <w:r w:rsidRPr="009B1FB1">
        <w:t>. Carol acknowledged that she only took on clients whom she “believed”—</w:t>
      </w:r>
      <w:r w:rsidR="00CC5D84">
        <w:t>which she</w:t>
      </w:r>
      <w:r w:rsidR="00F53E60">
        <w:t xml:space="preserve"> </w:t>
      </w:r>
      <w:r w:rsidR="00CC5D84">
        <w:t>framed</w:t>
      </w:r>
      <w:r w:rsidR="00312B50">
        <w:t xml:space="preserve"> </w:t>
      </w:r>
      <w:r w:rsidR="00CC5D84">
        <w:t>as synonymous</w:t>
      </w:r>
      <w:r w:rsidRPr="009B1FB1">
        <w:t xml:space="preserve"> w</w:t>
      </w:r>
      <w:r w:rsidR="00F53E60">
        <w:t>ith “having a case,” despite its subjective weight</w:t>
      </w:r>
      <w:r w:rsidRPr="009B1FB1">
        <w:t>.</w:t>
      </w:r>
      <w:r w:rsidR="00487903" w:rsidRPr="009B1FB1">
        <w:t xml:space="preserve"> Her </w:t>
      </w:r>
      <w:r w:rsidR="00CC5D84" w:rsidRPr="009B1FB1">
        <w:t xml:space="preserve">selection </w:t>
      </w:r>
      <w:r w:rsidR="00487903" w:rsidRPr="009B1FB1">
        <w:t xml:space="preserve">criteria </w:t>
      </w:r>
      <w:r w:rsidR="00CC5D84">
        <w:t xml:space="preserve">were </w:t>
      </w:r>
      <w:r w:rsidR="00312B50">
        <w:t>also</w:t>
      </w:r>
      <w:r w:rsidR="00487903" w:rsidRPr="009B1FB1">
        <w:t xml:space="preserve"> </w:t>
      </w:r>
      <w:r w:rsidR="00CC5D84">
        <w:t>guided by a</w:t>
      </w:r>
      <w:r w:rsidR="00487903" w:rsidRPr="009B1FB1">
        <w:t xml:space="preserve"> sense of obligation to support </w:t>
      </w:r>
      <w:r w:rsidR="00CC5D84">
        <w:t>people</w:t>
      </w:r>
      <w:r w:rsidR="00487903" w:rsidRPr="009B1FB1">
        <w:t xml:space="preserve"> she </w:t>
      </w:r>
      <w:r w:rsidR="00CC5D84">
        <w:t>saw as especially</w:t>
      </w:r>
      <w:r w:rsidR="00312B50">
        <w:t xml:space="preserve"> needy</w:t>
      </w:r>
      <w:r w:rsidR="00487903" w:rsidRPr="009B1FB1">
        <w:t xml:space="preserve"> and </w:t>
      </w:r>
      <w:r w:rsidR="00F61236">
        <w:t>“</w:t>
      </w:r>
      <w:r w:rsidR="00487903" w:rsidRPr="009B1FB1">
        <w:t>vulnerable,</w:t>
      </w:r>
      <w:r w:rsidR="00F61236">
        <w:t>”</w:t>
      </w:r>
      <w:r w:rsidR="00487903" w:rsidRPr="009B1FB1">
        <w:t xml:space="preserve"> and who she </w:t>
      </w:r>
      <w:r w:rsidR="00CC5D84">
        <w:t xml:space="preserve">felt </w:t>
      </w:r>
      <w:r w:rsidR="00487903" w:rsidRPr="009B1FB1">
        <w:t xml:space="preserve">other organizations </w:t>
      </w:r>
      <w:r w:rsidR="00CC5D84">
        <w:t>might</w:t>
      </w:r>
      <w:r w:rsidR="00487903" w:rsidRPr="009B1FB1">
        <w:t xml:space="preserve"> not support. Carol continued:</w:t>
      </w:r>
    </w:p>
    <w:p w14:paraId="509C9931" w14:textId="49EAF2D8" w:rsidR="00201545" w:rsidRDefault="007D50A4" w:rsidP="00F53E60">
      <w:pPr>
        <w:pStyle w:val="Quote"/>
      </w:pPr>
      <w:r w:rsidRPr="009B1FB1">
        <w:t>I'm particularly partial to the LGBT cases but there's so many asylum seekers who are not LGBT who have really, really, good, sympathetic cases. And it's really hard to place the poli</w:t>
      </w:r>
      <w:r w:rsidR="00F61236">
        <w:t>tical cases right now because—</w:t>
      </w:r>
      <w:r w:rsidRPr="009B1FB1">
        <w:t xml:space="preserve">as far as asylum </w:t>
      </w:r>
      <w:r w:rsidR="00F61236" w:rsidRPr="009B1FB1">
        <w:t>law</w:t>
      </w:r>
      <w:r w:rsidR="00F61236">
        <w:t>yers go</w:t>
      </w:r>
      <w:r w:rsidR="00AF0590">
        <w:t>—</w:t>
      </w:r>
      <w:r w:rsidRPr="009B1FB1">
        <w:t xml:space="preserve">they're becoming run of the mill. The LGBT ones, they're sexy, they're exciting—there's these [anti-homosexuality] laws coming down </w:t>
      </w:r>
      <w:r w:rsidRPr="009B1FB1">
        <w:rPr>
          <w:i/>
        </w:rPr>
        <w:t>right now</w:t>
      </w:r>
      <w:r w:rsidRPr="009B1FB1">
        <w:t xml:space="preserve">, as </w:t>
      </w:r>
      <w:r w:rsidRPr="009B1FB1">
        <w:lastRenderedPageBreak/>
        <w:t>you're doing the case. And then there's the r</w:t>
      </w:r>
      <w:r w:rsidR="00487903" w:rsidRPr="009B1FB1">
        <w:t>un-of-the-</w:t>
      </w:r>
      <w:r w:rsidRPr="009B1FB1">
        <w:t xml:space="preserve">mill political activist who's been tortured and I can't place those cases. It's [also] easier to find funding and lawyers for the LGBT cases. </w:t>
      </w:r>
      <w:r w:rsidR="00F61236">
        <w:t xml:space="preserve">[…] </w:t>
      </w:r>
      <w:r w:rsidRPr="009B1FB1">
        <w:t xml:space="preserve">the people that I have an impossible time finding lawyers for are the male, young, political activist who was jailed and tortured from-- Uganda is the main place I see people from. It's impossible. </w:t>
      </w:r>
      <w:proofErr w:type="gramStart"/>
      <w:r w:rsidRPr="009B1FB1">
        <w:t>So</w:t>
      </w:r>
      <w:proofErr w:type="gramEnd"/>
      <w:r w:rsidRPr="009B1FB1">
        <w:t xml:space="preserve"> I end up taking a lot of those cases too, because </w:t>
      </w:r>
      <w:r w:rsidR="0057409A" w:rsidRPr="009B1FB1">
        <w:t>they're incredibly sympathetic. […]</w:t>
      </w:r>
      <w:r w:rsidR="00CC5D84">
        <w:t xml:space="preserve"> </w:t>
      </w:r>
      <w:r w:rsidRPr="009B1FB1">
        <w:t xml:space="preserve">And then Central American ones are mostly domestic violence and gang related. […] I think we're just so accustomed to Central Americans here or something, it's not as exciting to represent someone who's Central American. And also, the domestic violence cases don't seem to be ones that attorneys want to take. To get a volunteer attorney to do a case it's got to excite them in some way, and the domestic violence ones, they just don't. </w:t>
      </w:r>
    </w:p>
    <w:p w14:paraId="7271C542" w14:textId="555A7538" w:rsidR="00F53E60" w:rsidRDefault="00487903" w:rsidP="000F2495">
      <w:pPr>
        <w:pStyle w:val="PoLAR"/>
      </w:pPr>
      <w:r w:rsidRPr="009B1FB1">
        <w:t xml:space="preserve">Carol’s frank </w:t>
      </w:r>
      <w:r w:rsidR="00CC5D84">
        <w:t>assessment</w:t>
      </w:r>
      <w:r w:rsidRPr="009B1FB1">
        <w:t xml:space="preserve"> reveal</w:t>
      </w:r>
      <w:r w:rsidR="00CC5D84">
        <w:t>s</w:t>
      </w:r>
      <w:r w:rsidRPr="009B1FB1">
        <w:t xml:space="preserve"> how deeply pervasive ideas about deserving, </w:t>
      </w:r>
      <w:r w:rsidR="00634A6A">
        <w:t>“sympathetic” immigrants inform</w:t>
      </w:r>
      <w:r w:rsidRPr="009B1FB1">
        <w:t xml:space="preserve"> funding </w:t>
      </w:r>
      <w:r w:rsidR="00CC5D84">
        <w:t>for, and accessibility to</w:t>
      </w:r>
      <w:r w:rsidRPr="009B1FB1">
        <w:t xml:space="preserve"> legal aid for </w:t>
      </w:r>
      <w:r w:rsidR="00CC5D84">
        <w:t>asylum seekers</w:t>
      </w:r>
      <w:r w:rsidRPr="009B1FB1">
        <w:t xml:space="preserve">. </w:t>
      </w:r>
      <w:r w:rsidR="00F53E60" w:rsidRPr="005863B7">
        <w:t>Heath Cabot</w:t>
      </w:r>
      <w:r w:rsidR="00F53E60">
        <w:t xml:space="preserve"> (</w:t>
      </w:r>
      <w:r w:rsidR="003344CC">
        <w:t>2014</w:t>
      </w:r>
      <w:r w:rsidR="00F53E60">
        <w:t>)</w:t>
      </w:r>
      <w:r w:rsidR="00F53E60" w:rsidRPr="005863B7">
        <w:t xml:space="preserve"> </w:t>
      </w:r>
      <w:r w:rsidR="00F53E60">
        <w:t>makes similar findings in a different context, detailing</w:t>
      </w:r>
      <w:r w:rsidR="00F53E60" w:rsidRPr="005863B7">
        <w:t xml:space="preserve"> how provision of pro bono legal assistance hinge</w:t>
      </w:r>
      <w:r w:rsidR="00F53E60">
        <w:t>s</w:t>
      </w:r>
      <w:r w:rsidR="00F53E60" w:rsidRPr="005863B7">
        <w:t xml:space="preserve"> on </w:t>
      </w:r>
      <w:r w:rsidR="00F53E60">
        <w:t xml:space="preserve">how far </w:t>
      </w:r>
      <w:r w:rsidR="00F53E60" w:rsidRPr="005863B7">
        <w:t xml:space="preserve">a potential client </w:t>
      </w:r>
      <w:r w:rsidR="00F53E60">
        <w:t xml:space="preserve">is </w:t>
      </w:r>
      <w:r w:rsidR="00F53E60" w:rsidRPr="005863B7">
        <w:t>deemed “eligible” for asylum</w:t>
      </w:r>
      <w:r w:rsidR="00F53E60">
        <w:t xml:space="preserve"> by NGO-based assessors in Greece. For </w:t>
      </w:r>
      <w:r w:rsidR="00F53E60">
        <w:lastRenderedPageBreak/>
        <w:t>Cabot’s interlocutors, these decisions are marked by moral-ethical dilemmas</w:t>
      </w:r>
      <w:r w:rsidR="007D7693">
        <w:t xml:space="preserve"> informed by popular and statist ideas </w:t>
      </w:r>
      <w:r w:rsidR="00012E53">
        <w:t xml:space="preserve">that differentiate </w:t>
      </w:r>
      <w:r w:rsidR="00401D7D">
        <w:t>“refugees” from “migrants”</w:t>
      </w:r>
      <w:r w:rsidR="007D7693">
        <w:t xml:space="preserve"> </w:t>
      </w:r>
      <w:r w:rsidR="00401D7D">
        <w:t xml:space="preserve">as deserving of aid </w:t>
      </w:r>
      <w:r w:rsidR="00012E53">
        <w:t>(</w:t>
      </w:r>
      <w:r w:rsidR="003344CC">
        <w:t>Cabot 2014</w:t>
      </w:r>
      <w:r w:rsidR="00012E53">
        <w:t>, 84-88). Carol’s reflections imply that similar factors motivate her, and her colleagues’ d</w:t>
      </w:r>
      <w:r w:rsidR="00CC5D84">
        <w:t>ecisions regarding who to help—</w:t>
      </w:r>
      <w:r w:rsidR="00012E53">
        <w:t>with</w:t>
      </w:r>
      <w:r w:rsidR="00CC5D84">
        <w:t xml:space="preserve"> </w:t>
      </w:r>
      <w:r w:rsidR="00401D7D">
        <w:t xml:space="preserve">two </w:t>
      </w:r>
      <w:r w:rsidR="0057178C">
        <w:t>notable</w:t>
      </w:r>
      <w:r w:rsidR="006D6936">
        <w:t xml:space="preserve"> </w:t>
      </w:r>
      <w:r w:rsidR="00012E53">
        <w:t>add</w:t>
      </w:r>
      <w:r w:rsidR="00401D7D">
        <w:t>itional concerns</w:t>
      </w:r>
      <w:r w:rsidR="00012E53">
        <w:t xml:space="preserve"> </w:t>
      </w:r>
      <w:r w:rsidR="00401D7D">
        <w:t>guiding</w:t>
      </w:r>
      <w:r w:rsidR="00012E53">
        <w:t xml:space="preserve"> their choices. One is the difficulty of winning the case</w:t>
      </w:r>
      <w:r w:rsidR="0057178C">
        <w:t>, which is quite distinct from eligibility for asylum</w:t>
      </w:r>
      <w:r w:rsidR="00012E53">
        <w:t>. The second</w:t>
      </w:r>
      <w:r w:rsidR="00401D7D">
        <w:t xml:space="preserve"> is a different strand of </w:t>
      </w:r>
      <w:r w:rsidR="00AF0590">
        <w:t>delineation</w:t>
      </w:r>
      <w:r w:rsidR="0057178C">
        <w:t xml:space="preserve"> between categories of migrant than </w:t>
      </w:r>
      <w:r w:rsidR="00CC5D84">
        <w:t xml:space="preserve">that which </w:t>
      </w:r>
      <w:r w:rsidR="0057178C">
        <w:t xml:space="preserve">Cabot </w:t>
      </w:r>
      <w:r w:rsidR="00CC5D84">
        <w:t>encounters</w:t>
      </w:r>
      <w:r w:rsidR="00401D7D">
        <w:t xml:space="preserve">, </w:t>
      </w:r>
      <w:r w:rsidR="00AF0590">
        <w:t>namely between “sympathetic,”</w:t>
      </w:r>
      <w:r w:rsidR="006D6936">
        <w:t xml:space="preserve"> “exciting” clients</w:t>
      </w:r>
      <w:r w:rsidR="0057178C">
        <w:t>,</w:t>
      </w:r>
      <w:r w:rsidR="00012E53">
        <w:t xml:space="preserve"> </w:t>
      </w:r>
      <w:r w:rsidR="00D052AB">
        <w:t>and “run-of-the-mill</w:t>
      </w:r>
      <w:r w:rsidR="006D6936">
        <w:t>”</w:t>
      </w:r>
      <w:r w:rsidR="00CC5D84">
        <w:t xml:space="preserve"> </w:t>
      </w:r>
      <w:r w:rsidR="006D6936">
        <w:t>cases.</w:t>
      </w:r>
    </w:p>
    <w:p w14:paraId="7FB8F383" w14:textId="4052DB67" w:rsidR="00B21D19" w:rsidRPr="00D16E5F" w:rsidRDefault="00487903" w:rsidP="000F2495">
      <w:pPr>
        <w:pStyle w:val="PoLAR"/>
        <w:rPr>
          <w:rFonts w:eastAsia="Times New Roman" w:cs="Times New Roman"/>
        </w:rPr>
      </w:pPr>
      <w:r w:rsidRPr="009B1FB1">
        <w:t xml:space="preserve">A nexus of racialized and gendered tropes </w:t>
      </w:r>
      <w:r w:rsidR="003344CC">
        <w:t xml:space="preserve">about </w:t>
      </w:r>
      <w:r w:rsidR="00CC5D84">
        <w:t xml:space="preserve">suitable and </w:t>
      </w:r>
      <w:r w:rsidR="003344CC">
        <w:t xml:space="preserve">desirable immigrants </w:t>
      </w:r>
      <w:r w:rsidRPr="009B1FB1">
        <w:t>in</w:t>
      </w:r>
      <w:r w:rsidR="003344CC">
        <w:t xml:space="preserve">forms these ideas, which here render </w:t>
      </w:r>
      <w:r w:rsidRPr="009B1FB1">
        <w:t>LGBT Ugandan</w:t>
      </w:r>
      <w:r w:rsidR="00F61236">
        <w:t>s</w:t>
      </w:r>
      <w:r w:rsidRPr="009B1FB1">
        <w:t xml:space="preserve"> more </w:t>
      </w:r>
      <w:r w:rsidR="00D052AB">
        <w:t>readily</w:t>
      </w:r>
      <w:r w:rsidRPr="009B1FB1">
        <w:t xml:space="preserve"> </w:t>
      </w:r>
      <w:r w:rsidR="00F61236">
        <w:t>offered aid than their straight</w:t>
      </w:r>
      <w:r w:rsidR="003344CC">
        <w:t>,</w:t>
      </w:r>
      <w:r w:rsidRPr="009B1FB1">
        <w:t xml:space="preserve"> political </w:t>
      </w:r>
      <w:r w:rsidR="00B21D19" w:rsidRPr="009B1FB1">
        <w:t>dissident counterpart</w:t>
      </w:r>
      <w:r w:rsidR="00F61236">
        <w:t>s</w:t>
      </w:r>
      <w:r w:rsidRPr="009B1FB1">
        <w:t xml:space="preserve">. </w:t>
      </w:r>
      <w:r w:rsidR="00B21D19" w:rsidRPr="009B1FB1">
        <w:t>Central American</w:t>
      </w:r>
      <w:r w:rsidR="00F61236">
        <w:t>s</w:t>
      </w:r>
      <w:r w:rsidR="00B21D19" w:rsidRPr="009B1FB1">
        <w:t xml:space="preserve">, those most commonly demonized </w:t>
      </w:r>
      <w:r w:rsidR="00F61236">
        <w:t xml:space="preserve">and pathologized </w:t>
      </w:r>
      <w:r w:rsidR="00B21D19" w:rsidRPr="009B1FB1">
        <w:t xml:space="preserve">by U.S. </w:t>
      </w:r>
      <w:r w:rsidR="00F61236">
        <w:t xml:space="preserve">politicians and </w:t>
      </w:r>
      <w:r w:rsidR="003344CC">
        <w:t xml:space="preserve">media </w:t>
      </w:r>
      <w:r w:rsidR="00F61236">
        <w:t>commentators</w:t>
      </w:r>
      <w:r w:rsidR="00B80343">
        <w:t xml:space="preserve"> </w:t>
      </w:r>
      <w:r w:rsidR="00F4380E">
        <w:t xml:space="preserve">as “a problem” </w:t>
      </w:r>
      <w:r w:rsidR="00B80343">
        <w:t>(</w:t>
      </w:r>
      <w:r w:rsidR="00056F0C">
        <w:t>Brown 2013</w:t>
      </w:r>
      <w:r w:rsidR="00B80343">
        <w:t>)</w:t>
      </w:r>
      <w:r w:rsidR="00F61236">
        <w:t>, are seen as unsympathetic and mundane</w:t>
      </w:r>
      <w:r w:rsidR="00B21D19" w:rsidRPr="009B1FB1">
        <w:t xml:space="preserve">. </w:t>
      </w:r>
      <w:r w:rsidR="00314A2E" w:rsidRPr="009B1FB1">
        <w:rPr>
          <w:rFonts w:eastAsia="Times New Roman" w:cs="Times New Roman"/>
        </w:rPr>
        <w:t xml:space="preserve">Such </w:t>
      </w:r>
      <w:r w:rsidR="003344CC">
        <w:rPr>
          <w:rFonts w:eastAsia="Times New Roman" w:cs="Times New Roman"/>
        </w:rPr>
        <w:t>views</w:t>
      </w:r>
      <w:r w:rsidR="00314A2E" w:rsidRPr="009B1FB1">
        <w:rPr>
          <w:rFonts w:eastAsia="Times New Roman" w:cs="Times New Roman"/>
        </w:rPr>
        <w:t xml:space="preserve"> cannot be read outside of the contemporary context, in which U.S. President </w:t>
      </w:r>
      <w:r w:rsidR="001C60B5">
        <w:rPr>
          <w:rFonts w:eastAsia="Times New Roman" w:cs="Times New Roman"/>
        </w:rPr>
        <w:t xml:space="preserve">Obama </w:t>
      </w:r>
      <w:r w:rsidR="00770E7D" w:rsidRPr="00CD6142">
        <w:rPr>
          <w:rFonts w:eastAsia="Times New Roman" w:cs="Times New Roman"/>
        </w:rPr>
        <w:t>(2014)</w:t>
      </w:r>
      <w:r w:rsidR="00770E7D">
        <w:rPr>
          <w:rFonts w:eastAsia="Times New Roman" w:cs="Times New Roman"/>
        </w:rPr>
        <w:t xml:space="preserve"> </w:t>
      </w:r>
      <w:r w:rsidR="001C60B5">
        <w:rPr>
          <w:rFonts w:eastAsia="Times New Roman" w:cs="Times New Roman"/>
        </w:rPr>
        <w:t>proclaimed</w:t>
      </w:r>
      <w:r w:rsidR="00314A2E" w:rsidRPr="009B1FB1">
        <w:rPr>
          <w:rFonts w:eastAsia="Times New Roman" w:cs="Times New Roman"/>
        </w:rPr>
        <w:t xml:space="preserve"> that beneficiaries of immigration reform </w:t>
      </w:r>
      <w:r w:rsidR="00314A2E">
        <w:rPr>
          <w:rFonts w:eastAsia="Times New Roman" w:cs="Times New Roman"/>
        </w:rPr>
        <w:t>should</w:t>
      </w:r>
      <w:r w:rsidR="00314A2E" w:rsidRPr="009B1FB1">
        <w:rPr>
          <w:rFonts w:eastAsia="Times New Roman" w:cs="Times New Roman"/>
        </w:rPr>
        <w:t xml:space="preserve"> be</w:t>
      </w:r>
      <w:r w:rsidR="0057178C">
        <w:rPr>
          <w:rFonts w:eastAsia="Times New Roman" w:cs="Times New Roman"/>
        </w:rPr>
        <w:t xml:space="preserve"> </w:t>
      </w:r>
      <w:r w:rsidR="00314A2E" w:rsidRPr="009B1FB1">
        <w:rPr>
          <w:rFonts w:eastAsia="Times New Roman" w:cs="Times New Roman"/>
        </w:rPr>
        <w:t>“families, not felons</w:t>
      </w:r>
      <w:r w:rsidR="00770E7D">
        <w:rPr>
          <w:rFonts w:eastAsia="Times New Roman" w:cs="Times New Roman"/>
        </w:rPr>
        <w:t>.</w:t>
      </w:r>
      <w:r w:rsidR="00314A2E" w:rsidRPr="009B1FB1">
        <w:rPr>
          <w:rFonts w:eastAsia="Times New Roman" w:cs="Times New Roman"/>
        </w:rPr>
        <w:t>”</w:t>
      </w:r>
      <w:r w:rsidR="00314A2E">
        <w:rPr>
          <w:rFonts w:eastAsia="Times New Roman" w:cs="Times New Roman"/>
        </w:rPr>
        <w:t xml:space="preserve"> </w:t>
      </w:r>
    </w:p>
    <w:p w14:paraId="0144E66B" w14:textId="150042E5" w:rsidR="00DA1B31" w:rsidRPr="009B1FB1" w:rsidRDefault="00B21D19" w:rsidP="001B3E0D">
      <w:pPr>
        <w:pStyle w:val="PoLAR"/>
      </w:pPr>
      <w:r w:rsidRPr="009B1FB1">
        <w:rPr>
          <w:rFonts w:eastAsia="Arial Unicode MS"/>
          <w:u w:color="000000"/>
        </w:rPr>
        <w:t>M</w:t>
      </w:r>
      <w:r w:rsidR="00151FB2" w:rsidRPr="009B1FB1">
        <w:rPr>
          <w:rFonts w:eastAsia="Arial Unicode MS"/>
          <w:u w:color="000000"/>
        </w:rPr>
        <w:t xml:space="preserve">edia and NGO </w:t>
      </w:r>
      <w:r w:rsidR="00770E7D">
        <w:rPr>
          <w:rFonts w:eastAsia="Arial Unicode MS"/>
          <w:u w:color="000000"/>
        </w:rPr>
        <w:t>publications</w:t>
      </w:r>
      <w:r w:rsidR="00151FB2" w:rsidRPr="009B1FB1">
        <w:rPr>
          <w:rFonts w:eastAsia="Arial Unicode MS"/>
          <w:u w:color="000000"/>
        </w:rPr>
        <w:t xml:space="preserve"> </w:t>
      </w:r>
      <w:r w:rsidR="00770E7D">
        <w:rPr>
          <w:rFonts w:eastAsia="Arial Unicode MS"/>
          <w:u w:color="000000"/>
        </w:rPr>
        <w:t>about</w:t>
      </w:r>
      <w:r w:rsidR="00151FB2" w:rsidRPr="009B1FB1">
        <w:rPr>
          <w:rFonts w:eastAsia="Arial Unicode MS"/>
          <w:u w:color="000000"/>
        </w:rPr>
        <w:t xml:space="preserve"> LGBT asylum seekers</w:t>
      </w:r>
      <w:r w:rsidRPr="009B1FB1">
        <w:rPr>
          <w:rFonts w:eastAsia="Arial Unicode MS"/>
          <w:u w:color="000000"/>
        </w:rPr>
        <w:t xml:space="preserve"> </w:t>
      </w:r>
      <w:r w:rsidR="00770E7D">
        <w:rPr>
          <w:rFonts w:eastAsia="Arial Unicode MS"/>
          <w:u w:color="000000"/>
        </w:rPr>
        <w:t>additionally</w:t>
      </w:r>
      <w:r w:rsidR="00A82FE0">
        <w:rPr>
          <w:rFonts w:eastAsia="Arial Unicode MS"/>
          <w:u w:color="000000"/>
        </w:rPr>
        <w:t xml:space="preserve"> fueled</w:t>
      </w:r>
      <w:r w:rsidRPr="009B1FB1">
        <w:rPr>
          <w:rFonts w:eastAsia="Arial Unicode MS"/>
          <w:u w:color="000000"/>
        </w:rPr>
        <w:t xml:space="preserve"> these imaginaries</w:t>
      </w:r>
      <w:r w:rsidR="0057178C">
        <w:rPr>
          <w:rFonts w:eastAsia="Arial Unicode MS"/>
          <w:u w:color="000000"/>
        </w:rPr>
        <w:t xml:space="preserve">. </w:t>
      </w:r>
      <w:r w:rsidR="00F4380E">
        <w:rPr>
          <w:rFonts w:eastAsia="Arial Unicode MS"/>
          <w:u w:color="000000"/>
        </w:rPr>
        <w:t>T</w:t>
      </w:r>
      <w:r w:rsidR="0057178C">
        <w:rPr>
          <w:rFonts w:eastAsia="Arial Unicode MS"/>
          <w:u w:color="000000"/>
        </w:rPr>
        <w:t xml:space="preserve">he </w:t>
      </w:r>
      <w:r w:rsidR="00770E7D">
        <w:rPr>
          <w:rFonts w:eastAsia="Arial Unicode MS"/>
          <w:u w:color="000000"/>
        </w:rPr>
        <w:t xml:space="preserve">frequently </w:t>
      </w:r>
      <w:r w:rsidR="00F4380E">
        <w:rPr>
          <w:rFonts w:eastAsia="Arial Unicode MS"/>
          <w:u w:color="000000"/>
        </w:rPr>
        <w:t>deployed</w:t>
      </w:r>
      <w:r w:rsidR="0057178C">
        <w:rPr>
          <w:rFonts w:eastAsia="Arial Unicode MS"/>
          <w:u w:color="000000"/>
        </w:rPr>
        <w:t xml:space="preserve"> refrain that </w:t>
      </w:r>
      <w:r w:rsidR="00F4380E" w:rsidRPr="009B1FB1">
        <w:rPr>
          <w:rFonts w:eastAsia="Arial Unicode MS"/>
          <w:u w:color="000000"/>
        </w:rPr>
        <w:t xml:space="preserve">LGBT </w:t>
      </w:r>
      <w:r w:rsidR="00770E7D">
        <w:rPr>
          <w:rFonts w:eastAsia="Arial Unicode MS"/>
          <w:u w:color="000000"/>
        </w:rPr>
        <w:t>claimants</w:t>
      </w:r>
      <w:r w:rsidR="00F4380E" w:rsidRPr="009B1FB1">
        <w:rPr>
          <w:rFonts w:eastAsia="Arial Unicode MS"/>
          <w:u w:color="000000"/>
        </w:rPr>
        <w:t xml:space="preserve"> </w:t>
      </w:r>
      <w:r w:rsidR="00A82FE0">
        <w:rPr>
          <w:rFonts w:eastAsia="Arial Unicode MS"/>
          <w:u w:color="000000"/>
        </w:rPr>
        <w:t xml:space="preserve">are </w:t>
      </w:r>
      <w:r w:rsidR="00A82FE0">
        <w:rPr>
          <w:rFonts w:eastAsia="Arial Unicode MS"/>
          <w:u w:color="000000"/>
        </w:rPr>
        <w:lastRenderedPageBreak/>
        <w:t>people</w:t>
      </w:r>
      <w:r w:rsidR="00151FB2" w:rsidRPr="009B1FB1">
        <w:rPr>
          <w:rFonts w:eastAsia="Arial Unicode MS"/>
          <w:u w:color="000000"/>
        </w:rPr>
        <w:t xml:space="preserve"> </w:t>
      </w:r>
      <w:r w:rsidR="00F4380E">
        <w:rPr>
          <w:rFonts w:eastAsia="Arial Unicode MS"/>
          <w:u w:color="000000"/>
        </w:rPr>
        <w:t>“</w:t>
      </w:r>
      <w:r w:rsidR="00151FB2" w:rsidRPr="009B1FB1">
        <w:rPr>
          <w:rFonts w:eastAsia="Arial Unicode MS"/>
          <w:u w:color="000000"/>
        </w:rPr>
        <w:t xml:space="preserve">persecuted because of </w:t>
      </w:r>
      <w:r w:rsidR="00314A2E">
        <w:rPr>
          <w:rFonts w:eastAsia="Arial Unicode MS"/>
          <w:u w:color="000000"/>
        </w:rPr>
        <w:t>who they are and who</w:t>
      </w:r>
      <w:r w:rsidR="0057178C">
        <w:rPr>
          <w:rFonts w:eastAsia="Arial Unicode MS"/>
          <w:u w:color="000000"/>
        </w:rPr>
        <w:t xml:space="preserve"> they love</w:t>
      </w:r>
      <w:r w:rsidR="00151FB2" w:rsidRPr="009B1FB1">
        <w:rPr>
          <w:rFonts w:eastAsia="Arial Unicode MS"/>
          <w:u w:color="000000"/>
        </w:rPr>
        <w:t>”</w:t>
      </w:r>
      <w:r w:rsidR="0057178C">
        <w:rPr>
          <w:rFonts w:eastAsia="Arial Unicode MS"/>
          <w:u w:color="000000"/>
        </w:rPr>
        <w:t xml:space="preserve"> </w:t>
      </w:r>
      <w:r w:rsidR="000E0BA8">
        <w:rPr>
          <w:rFonts w:eastAsia="Arial Unicode MS"/>
          <w:u w:color="000000"/>
        </w:rPr>
        <w:t xml:space="preserve">(c.f </w:t>
      </w:r>
      <w:r w:rsidR="000E0BA8" w:rsidRPr="00CD6142">
        <w:rPr>
          <w:rFonts w:eastAsia="Arial Unicode MS"/>
          <w:u w:color="000000"/>
        </w:rPr>
        <w:t>Remedi-Brown 2014</w:t>
      </w:r>
      <w:r w:rsidR="000E0BA8">
        <w:rPr>
          <w:rFonts w:eastAsia="Arial Unicode MS"/>
          <w:u w:color="000000"/>
        </w:rPr>
        <w:t xml:space="preserve">) </w:t>
      </w:r>
      <w:r w:rsidR="00500696">
        <w:rPr>
          <w:rFonts w:eastAsia="Arial Unicode MS"/>
          <w:u w:color="000000"/>
        </w:rPr>
        <w:t>assertively</w:t>
      </w:r>
      <w:r w:rsidR="0057178C">
        <w:rPr>
          <w:rFonts w:eastAsia="Arial Unicode MS"/>
          <w:u w:color="000000"/>
        </w:rPr>
        <w:t xml:space="preserve"> associates</w:t>
      </w:r>
      <w:r w:rsidR="0057178C" w:rsidRPr="009B1FB1">
        <w:rPr>
          <w:rFonts w:eastAsia="Arial Unicode MS"/>
          <w:u w:color="000000"/>
        </w:rPr>
        <w:t xml:space="preserve"> </w:t>
      </w:r>
      <w:r w:rsidR="000E0BA8">
        <w:rPr>
          <w:rFonts w:eastAsia="Arial Unicode MS"/>
          <w:u w:color="000000"/>
        </w:rPr>
        <w:t xml:space="preserve">their </w:t>
      </w:r>
      <w:r w:rsidR="0057178C">
        <w:rPr>
          <w:rFonts w:eastAsia="Arial Unicode MS"/>
          <w:u w:color="000000"/>
        </w:rPr>
        <w:t xml:space="preserve">suffering with </w:t>
      </w:r>
      <w:r w:rsidR="000E0BA8">
        <w:rPr>
          <w:rFonts w:eastAsia="Arial Unicode MS"/>
          <w:u w:color="000000"/>
        </w:rPr>
        <w:t xml:space="preserve">their </w:t>
      </w:r>
      <w:r w:rsidR="0057178C">
        <w:rPr>
          <w:rFonts w:eastAsia="Arial Unicode MS"/>
          <w:u w:color="000000"/>
        </w:rPr>
        <w:t>subjectivity</w:t>
      </w:r>
      <w:r w:rsidR="000E0BA8">
        <w:rPr>
          <w:rFonts w:eastAsia="Arial Unicode MS"/>
          <w:u w:color="000000"/>
        </w:rPr>
        <w:t>, not</w:t>
      </w:r>
      <w:r w:rsidR="00F4380E">
        <w:rPr>
          <w:rFonts w:eastAsia="Arial Unicode MS"/>
          <w:u w:color="000000"/>
        </w:rPr>
        <w:t xml:space="preserve"> </w:t>
      </w:r>
      <w:r w:rsidR="000E0BA8">
        <w:rPr>
          <w:rFonts w:eastAsia="Arial Unicode MS"/>
          <w:u w:color="000000"/>
        </w:rPr>
        <w:t>their actions</w:t>
      </w:r>
      <w:r w:rsidR="0057178C">
        <w:rPr>
          <w:rFonts w:eastAsia="Arial Unicode MS"/>
          <w:u w:color="000000"/>
        </w:rPr>
        <w:t>.</w:t>
      </w:r>
      <w:r w:rsidR="00151FB2" w:rsidRPr="009B1FB1">
        <w:rPr>
          <w:rFonts w:eastAsia="Arial Unicode MS"/>
          <w:u w:color="000000"/>
        </w:rPr>
        <w:t xml:space="preserve"> </w:t>
      </w:r>
      <w:r w:rsidR="00F4380E">
        <w:rPr>
          <w:rFonts w:eastAsia="Arial Unicode MS"/>
          <w:u w:color="000000"/>
        </w:rPr>
        <w:t xml:space="preserve">This </w:t>
      </w:r>
      <w:r w:rsidR="00F4380E">
        <w:t>f</w:t>
      </w:r>
      <w:r w:rsidR="00151FB2" w:rsidRPr="009B1FB1">
        <w:t xml:space="preserve">raming </w:t>
      </w:r>
      <w:r w:rsidR="00500696">
        <w:t>renders</w:t>
      </w:r>
      <w:r w:rsidR="00F4380E">
        <w:t xml:space="preserve"> </w:t>
      </w:r>
      <w:r w:rsidR="000E0BA8">
        <w:t>them</w:t>
      </w:r>
      <w:r w:rsidR="00500696">
        <w:t xml:space="preserve"> </w:t>
      </w:r>
      <w:r w:rsidR="00151FB2" w:rsidRPr="009B1FB1">
        <w:t>passive victims</w:t>
      </w:r>
      <w:r w:rsidR="00F4380E">
        <w:t xml:space="preserve"> in need of re</w:t>
      </w:r>
      <w:r w:rsidR="00D052AB">
        <w:t>scue from homophobic oppressors</w:t>
      </w:r>
      <w:r w:rsidR="000E0BA8">
        <w:t>,</w:t>
      </w:r>
      <w:r w:rsidR="00F4380E">
        <w:t xml:space="preserve"> </w:t>
      </w:r>
      <w:r w:rsidR="00151FB2" w:rsidRPr="009B1FB1">
        <w:t xml:space="preserve">obscuring that the persecution they </w:t>
      </w:r>
      <w:r w:rsidR="00F4380E">
        <w:t>faced may well have resulted</w:t>
      </w:r>
      <w:r w:rsidR="00151FB2" w:rsidRPr="009B1FB1">
        <w:t xml:space="preserve"> from </w:t>
      </w:r>
      <w:r w:rsidR="000E0BA8">
        <w:t>intentional and</w:t>
      </w:r>
      <w:r w:rsidRPr="009B1FB1">
        <w:t xml:space="preserve"> chosen </w:t>
      </w:r>
      <w:r w:rsidR="000E0BA8">
        <w:t>activities</w:t>
      </w:r>
      <w:r w:rsidRPr="009B1FB1">
        <w:t xml:space="preserve">, </w:t>
      </w:r>
      <w:r w:rsidR="00F4380E">
        <w:t xml:space="preserve">including </w:t>
      </w:r>
      <w:r w:rsidR="00A82FE0">
        <w:t xml:space="preserve">LGBT rights </w:t>
      </w:r>
      <w:r w:rsidR="00F4380E">
        <w:t>advocacy</w:t>
      </w:r>
      <w:r w:rsidR="00151FB2" w:rsidRPr="009B1FB1">
        <w:t xml:space="preserve">. </w:t>
      </w:r>
      <w:r w:rsidR="000E0BA8">
        <w:rPr>
          <w:rFonts w:eastAsia="Arial Unicode MS"/>
          <w:u w:color="000000"/>
        </w:rPr>
        <w:t>Naming LGBT claimants as</w:t>
      </w:r>
      <w:r w:rsidR="00F4380E">
        <w:rPr>
          <w:rFonts w:eastAsia="Arial Unicode MS"/>
          <w:u w:color="000000"/>
        </w:rPr>
        <w:t xml:space="preserve"> </w:t>
      </w:r>
      <w:r w:rsidR="00F4380E" w:rsidRPr="009B1FB1">
        <w:rPr>
          <w:rFonts w:eastAsia="Arial Unicode MS"/>
          <w:u w:color="000000"/>
        </w:rPr>
        <w:t>“innocent”</w:t>
      </w:r>
      <w:r w:rsidR="00F4380E">
        <w:rPr>
          <w:rFonts w:eastAsia="Arial Unicode MS"/>
          <w:u w:color="000000"/>
        </w:rPr>
        <w:t xml:space="preserve"> </w:t>
      </w:r>
      <w:r w:rsidR="000E0BA8">
        <w:rPr>
          <w:rFonts w:eastAsia="Arial Unicode MS"/>
          <w:u w:color="000000"/>
        </w:rPr>
        <w:t>(cf. Harvey 2012</w:t>
      </w:r>
      <w:r w:rsidR="00CD6142" w:rsidRPr="00CD6142">
        <w:rPr>
          <w:rFonts w:eastAsia="Arial Unicode MS"/>
          <w:u w:color="000000"/>
        </w:rPr>
        <w:t>)</w:t>
      </w:r>
      <w:r w:rsidR="00151FB2" w:rsidRPr="009B1FB1">
        <w:rPr>
          <w:rFonts w:eastAsia="Arial Unicode MS"/>
          <w:u w:color="000000"/>
        </w:rPr>
        <w:t xml:space="preserve"> </w:t>
      </w:r>
      <w:r w:rsidR="000E0BA8">
        <w:rPr>
          <w:rFonts w:eastAsia="Arial Unicode MS"/>
          <w:u w:color="000000"/>
        </w:rPr>
        <w:t>reemphasizes the point, while further differentiating</w:t>
      </w:r>
      <w:r w:rsidR="00F4380E">
        <w:rPr>
          <w:rFonts w:eastAsia="Arial Unicode MS"/>
          <w:u w:color="000000"/>
        </w:rPr>
        <w:t xml:space="preserve"> </w:t>
      </w:r>
      <w:r w:rsidR="000E0BA8">
        <w:rPr>
          <w:rFonts w:eastAsia="Arial Unicode MS"/>
          <w:u w:color="000000"/>
        </w:rPr>
        <w:t>them</w:t>
      </w:r>
      <w:r w:rsidR="00151FB2" w:rsidRPr="009B1FB1">
        <w:rPr>
          <w:rFonts w:eastAsia="Arial Unicode MS"/>
          <w:u w:color="000000"/>
        </w:rPr>
        <w:t xml:space="preserve"> </w:t>
      </w:r>
      <w:r w:rsidR="000E0BA8">
        <w:rPr>
          <w:rFonts w:eastAsia="Arial Unicode MS"/>
          <w:u w:color="000000"/>
        </w:rPr>
        <w:t>from</w:t>
      </w:r>
      <w:r w:rsidRPr="009B1FB1">
        <w:rPr>
          <w:rFonts w:eastAsia="Arial Unicode MS"/>
          <w:u w:color="000000"/>
        </w:rPr>
        <w:t xml:space="preserve"> other</w:t>
      </w:r>
      <w:r w:rsidR="000E0BA8">
        <w:rPr>
          <w:rFonts w:eastAsia="Arial Unicode MS"/>
          <w:u w:color="000000"/>
        </w:rPr>
        <w:t>, imagined,</w:t>
      </w:r>
      <w:r w:rsidR="00F4380E">
        <w:rPr>
          <w:rFonts w:eastAsia="Arial Unicode MS"/>
          <w:u w:color="000000"/>
        </w:rPr>
        <w:t xml:space="preserve"> </w:t>
      </w:r>
      <w:r w:rsidR="000E0BA8">
        <w:rPr>
          <w:rFonts w:eastAsia="Arial Unicode MS"/>
          <w:u w:color="000000"/>
        </w:rPr>
        <w:t>immigrants</w:t>
      </w:r>
      <w:r w:rsidR="00151FB2" w:rsidRPr="009B1FB1">
        <w:rPr>
          <w:rFonts w:eastAsia="Arial Unicode MS"/>
          <w:u w:color="000000"/>
        </w:rPr>
        <w:t xml:space="preserve">. </w:t>
      </w:r>
    </w:p>
    <w:p w14:paraId="70798ABF" w14:textId="71A59612" w:rsidR="004209A5" w:rsidRPr="006714A1" w:rsidRDefault="00EE1165" w:rsidP="004209A5">
      <w:pPr>
        <w:pStyle w:val="PoLAR"/>
        <w:rPr>
          <w:bCs/>
        </w:rPr>
      </w:pPr>
      <w:r>
        <w:rPr>
          <w:rFonts w:eastAsia="Arial Unicode MS"/>
          <w:u w:color="000000"/>
        </w:rPr>
        <w:t xml:space="preserve">As Miriam Ticktin (2011) suggests, </w:t>
      </w:r>
      <w:r w:rsidR="00151FB2" w:rsidRPr="009B1FB1">
        <w:rPr>
          <w:rFonts w:eastAsia="Arial Unicode MS"/>
          <w:u w:color="000000"/>
        </w:rPr>
        <w:t>the contemporary figure of the “genuine,” sympat</w:t>
      </w:r>
      <w:r>
        <w:rPr>
          <w:rFonts w:eastAsia="Arial Unicode MS"/>
          <w:u w:color="000000"/>
        </w:rPr>
        <w:t>hetic asylum seeker is deeply gendered,</w:t>
      </w:r>
      <w:r w:rsidR="00151FB2" w:rsidRPr="009B1FB1">
        <w:rPr>
          <w:rFonts w:eastAsia="Arial Unicode MS"/>
          <w:u w:color="000000"/>
        </w:rPr>
        <w:t xml:space="preserve"> </w:t>
      </w:r>
      <w:r w:rsidR="00DA1B31" w:rsidRPr="009B1FB1">
        <w:rPr>
          <w:bCs/>
        </w:rPr>
        <w:t>such that women</w:t>
      </w:r>
      <w:r w:rsidR="00151FB2" w:rsidRPr="009B1FB1">
        <w:rPr>
          <w:bCs/>
        </w:rPr>
        <w:t xml:space="preserve"> have become the archetypal and preferred recipients of aid. Male asylum claimants, conversely, have become emblematic of the “bogus” asylum seeker, a figure popularly regarded as dangerously agentive</w:t>
      </w:r>
      <w:r w:rsidR="00382F4A" w:rsidRPr="00382F4A">
        <w:rPr>
          <w:bCs/>
        </w:rPr>
        <w:t xml:space="preserve"> (Griffiths 2015).</w:t>
      </w:r>
      <w:r w:rsidR="00151FB2" w:rsidRPr="009B1FB1">
        <w:rPr>
          <w:bCs/>
        </w:rPr>
        <w:t xml:space="preserve"> </w:t>
      </w:r>
      <w:r w:rsidR="00DB6F28">
        <w:rPr>
          <w:bCs/>
        </w:rPr>
        <w:t xml:space="preserve">These constructions feminize </w:t>
      </w:r>
      <w:r w:rsidR="00DB6F28" w:rsidRPr="009B1FB1">
        <w:rPr>
          <w:bCs/>
        </w:rPr>
        <w:t>LGBT asylum seekers, and in particular</w:t>
      </w:r>
      <w:r w:rsidR="00DB6F28">
        <w:rPr>
          <w:bCs/>
        </w:rPr>
        <w:t xml:space="preserve"> gay men—who in governmental spaces are often seen as</w:t>
      </w:r>
      <w:r w:rsidR="00DB6F28" w:rsidRPr="009B1FB1">
        <w:rPr>
          <w:bCs/>
        </w:rPr>
        <w:t xml:space="preserve"> lack</w:t>
      </w:r>
      <w:r w:rsidR="00DB6F28">
        <w:rPr>
          <w:bCs/>
        </w:rPr>
        <w:t xml:space="preserve">ing </w:t>
      </w:r>
      <w:r w:rsidR="00DB6F28" w:rsidRPr="009B1FB1">
        <w:rPr>
          <w:bCs/>
        </w:rPr>
        <w:t xml:space="preserve">credibility if they do not display </w:t>
      </w:r>
      <w:r w:rsidR="00DB6F28">
        <w:rPr>
          <w:bCs/>
        </w:rPr>
        <w:t>suitably effeminate vulnerabilities</w:t>
      </w:r>
      <w:r w:rsidR="00DB6F28" w:rsidRPr="009B1FB1">
        <w:rPr>
          <w:bCs/>
        </w:rPr>
        <w:t xml:space="preserve"> </w:t>
      </w:r>
      <w:r w:rsidR="00DB6F28">
        <w:rPr>
          <w:bCs/>
        </w:rPr>
        <w:t>(Johnson 2007;</w:t>
      </w:r>
      <w:r w:rsidR="00DB6F28" w:rsidRPr="00CD6142">
        <w:rPr>
          <w:bCs/>
        </w:rPr>
        <w:t xml:space="preserve"> Kimmel and Llewellyn 2012)</w:t>
      </w:r>
      <w:r w:rsidR="00DB6F28" w:rsidRPr="009B1FB1">
        <w:rPr>
          <w:bCs/>
        </w:rPr>
        <w:t>.</w:t>
      </w:r>
      <w:r w:rsidR="00DB6F28" w:rsidRPr="003B3330">
        <w:rPr>
          <w:u w:color="000000"/>
        </w:rPr>
        <w:t xml:space="preserve"> </w:t>
      </w:r>
      <w:r w:rsidR="00DA1B31" w:rsidRPr="009B1FB1">
        <w:rPr>
          <w:rFonts w:eastAsia="Times New Roman" w:cs="Times New Roman"/>
        </w:rPr>
        <w:t>Carol</w:t>
      </w:r>
      <w:r w:rsidR="00DB6F28">
        <w:rPr>
          <w:rFonts w:eastAsia="Times New Roman" w:cs="Times New Roman"/>
        </w:rPr>
        <w:t>’s</w:t>
      </w:r>
      <w:r w:rsidR="00012E53">
        <w:rPr>
          <w:rFonts w:eastAsia="Times New Roman" w:cs="Times New Roman"/>
        </w:rPr>
        <w:t xml:space="preserve"> </w:t>
      </w:r>
      <w:r w:rsidR="00DB6F28">
        <w:rPr>
          <w:rFonts w:eastAsia="Times New Roman" w:cs="Times New Roman"/>
        </w:rPr>
        <w:t>comments reveal that LGBT asylum seekers are similarly assessed and differentiated from</w:t>
      </w:r>
      <w:r w:rsidR="00C80EE9">
        <w:rPr>
          <w:rFonts w:eastAsia="Times New Roman" w:cs="Times New Roman"/>
        </w:rPr>
        <w:t xml:space="preserve"> </w:t>
      </w:r>
      <w:r w:rsidR="00DB6F28" w:rsidRPr="009B1FB1">
        <w:rPr>
          <w:rFonts w:eastAsia="Times New Roman" w:cs="Times New Roman"/>
        </w:rPr>
        <w:t>spectral</w:t>
      </w:r>
      <w:r w:rsidR="00DB6F28">
        <w:rPr>
          <w:rFonts w:eastAsia="Times New Roman" w:cs="Times New Roman"/>
        </w:rPr>
        <w:t xml:space="preserve"> “unsympathetic” immigrants in non-governmental spaces.</w:t>
      </w:r>
    </w:p>
    <w:p w14:paraId="52175FD4" w14:textId="4A098149" w:rsidR="007D50A4" w:rsidRPr="004209A5" w:rsidRDefault="007D50A4" w:rsidP="000214D5">
      <w:pPr>
        <w:pStyle w:val="PoLAR"/>
        <w:outlineLvl w:val="0"/>
        <w:rPr>
          <w:b/>
        </w:rPr>
      </w:pPr>
      <w:r w:rsidRPr="004209A5">
        <w:rPr>
          <w:b/>
        </w:rPr>
        <w:t>Credible</w:t>
      </w:r>
    </w:p>
    <w:p w14:paraId="65C422AD" w14:textId="356E45A4" w:rsidR="007D50A4" w:rsidRPr="009B1FB1" w:rsidRDefault="008B49E2" w:rsidP="004209A5">
      <w:pPr>
        <w:pStyle w:val="PoLAR"/>
      </w:pPr>
      <w:r>
        <w:lastRenderedPageBreak/>
        <w:t xml:space="preserve">At </w:t>
      </w:r>
      <w:r w:rsidR="007D50A4" w:rsidRPr="009B1FB1">
        <w:t xml:space="preserve">a </w:t>
      </w:r>
      <w:r>
        <w:t xml:space="preserve">2014 </w:t>
      </w:r>
      <w:r w:rsidR="007D50A4" w:rsidRPr="009B1FB1">
        <w:t>public seminar in Washington, D</w:t>
      </w:r>
      <w:r w:rsidR="00C80EE9">
        <w:t>.</w:t>
      </w:r>
      <w:r w:rsidR="007D50A4" w:rsidRPr="009B1FB1">
        <w:t>C</w:t>
      </w:r>
      <w:r w:rsidR="00C80EE9">
        <w:t>.</w:t>
      </w:r>
      <w:r w:rsidR="00B66265">
        <w:t>,</w:t>
      </w:r>
      <w:r w:rsidR="00C80EE9">
        <w:t xml:space="preserve"> advertised as educating</w:t>
      </w:r>
      <w:r w:rsidR="007D50A4" w:rsidRPr="009B1FB1">
        <w:t xml:space="preserve"> “stakeholders” on developments in LGBT asylum adjudication</w:t>
      </w:r>
      <w:r w:rsidR="00B66265">
        <w:t>,</w:t>
      </w:r>
      <w:r w:rsidR="00DA1B31" w:rsidRPr="009B1FB1">
        <w:t xml:space="preserve"> </w:t>
      </w:r>
      <w:r w:rsidR="007D50A4" w:rsidRPr="009B1FB1">
        <w:t xml:space="preserve">audience </w:t>
      </w:r>
      <w:r w:rsidR="00E5600F">
        <w:t xml:space="preserve">members </w:t>
      </w:r>
      <w:r w:rsidR="007F4684">
        <w:t xml:space="preserve">were </w:t>
      </w:r>
      <w:r w:rsidR="00254DAB">
        <w:t>asked</w:t>
      </w:r>
      <w:r w:rsidR="007F4684">
        <w:t xml:space="preserve"> to </w:t>
      </w:r>
      <w:r w:rsidR="00254DAB">
        <w:t>identify</w:t>
      </w:r>
      <w:r w:rsidR="00E5600F">
        <w:t xml:space="preserve"> </w:t>
      </w:r>
      <w:r w:rsidR="000C7EFC">
        <w:t>ourselves</w:t>
      </w:r>
      <w:r w:rsidR="00E5600F">
        <w:t xml:space="preserve"> </w:t>
      </w:r>
      <w:r w:rsidR="007F4684">
        <w:t>throug</w:t>
      </w:r>
      <w:r w:rsidR="000C7EFC">
        <w:t>h a</w:t>
      </w:r>
      <w:r w:rsidR="00E5600F">
        <w:t xml:space="preserve"> show of hands. I was one of three researchers</w:t>
      </w:r>
      <w:r w:rsidR="000C7EFC">
        <w:t>,</w:t>
      </w:r>
      <w:r w:rsidR="00E5600F">
        <w:t xml:space="preserve"> </w:t>
      </w:r>
      <w:r w:rsidR="000C7EFC">
        <w:t>sat among</w:t>
      </w:r>
      <w:r w:rsidR="007D50A4" w:rsidRPr="009B1FB1">
        <w:t xml:space="preserve"> </w:t>
      </w:r>
      <w:r w:rsidR="00E5600F">
        <w:t xml:space="preserve">five </w:t>
      </w:r>
      <w:r w:rsidR="007D50A4" w:rsidRPr="009B1FB1">
        <w:t>immigration attorneys</w:t>
      </w:r>
      <w:r w:rsidR="00E5600F">
        <w:t>,</w:t>
      </w:r>
      <w:r w:rsidR="007D50A4" w:rsidRPr="009B1FB1">
        <w:t xml:space="preserve"> </w:t>
      </w:r>
      <w:r w:rsidR="00E5600F">
        <w:t xml:space="preserve">a dozen </w:t>
      </w:r>
      <w:r w:rsidR="007D50A4" w:rsidRPr="009B1FB1">
        <w:t>NGO</w:t>
      </w:r>
      <w:r w:rsidR="00E5600F">
        <w:t xml:space="preserve"> or think tank</w:t>
      </w:r>
      <w:r w:rsidR="007D50A4" w:rsidRPr="009B1FB1">
        <w:t xml:space="preserve"> staff</w:t>
      </w:r>
      <w:r w:rsidR="005333B0" w:rsidRPr="009B1FB1">
        <w:t>,</w:t>
      </w:r>
      <w:r w:rsidR="007D50A4" w:rsidRPr="009B1FB1">
        <w:t xml:space="preserve"> </w:t>
      </w:r>
      <w:r w:rsidR="00E5600F">
        <w:t xml:space="preserve">four </w:t>
      </w:r>
      <w:r w:rsidR="007D50A4" w:rsidRPr="009B1FB1">
        <w:t>LGBT asylum seekers</w:t>
      </w:r>
      <w:r w:rsidR="005333B0" w:rsidRPr="009B1FB1">
        <w:t xml:space="preserve"> </w:t>
      </w:r>
      <w:r w:rsidR="00B0308E">
        <w:t>or</w:t>
      </w:r>
      <w:r w:rsidR="005333B0" w:rsidRPr="009B1FB1">
        <w:t xml:space="preserve"> asylees</w:t>
      </w:r>
      <w:r w:rsidR="00B0308E">
        <w:t>,</w:t>
      </w:r>
      <w:r w:rsidR="007F4684">
        <w:t xml:space="preserve"> and six USCIS employees—</w:t>
      </w:r>
      <w:r w:rsidR="00B0308E" w:rsidRPr="009B1FB1">
        <w:t>one</w:t>
      </w:r>
      <w:r w:rsidR="007F4684">
        <w:t xml:space="preserve"> of whom announced</w:t>
      </w:r>
      <w:r w:rsidR="00B0308E" w:rsidRPr="009B1FB1">
        <w:t xml:space="preserve"> that she was </w:t>
      </w:r>
      <w:r w:rsidR="00C80EE9">
        <w:t>there to take</w:t>
      </w:r>
      <w:r w:rsidR="00B0308E" w:rsidRPr="009B1FB1">
        <w:t xml:space="preserve"> notes for future </w:t>
      </w:r>
      <w:r w:rsidR="00B0308E">
        <w:t>Asylum O</w:t>
      </w:r>
      <w:r w:rsidR="00B0308E" w:rsidRPr="009B1FB1">
        <w:t>fficer t</w:t>
      </w:r>
      <w:r w:rsidR="00B0308E">
        <w:t>rainings</w:t>
      </w:r>
      <w:r w:rsidR="005333B0" w:rsidRPr="009B1FB1">
        <w:t xml:space="preserve">. </w:t>
      </w:r>
      <w:r w:rsidR="00C80EE9">
        <w:t>The first panel</w:t>
      </w:r>
      <w:r w:rsidR="00B0308E">
        <w:t xml:space="preserve"> comprised of </w:t>
      </w:r>
      <w:r w:rsidR="007F4684">
        <w:t>NGO</w:t>
      </w:r>
      <w:r w:rsidR="00B0308E" w:rsidRPr="009B1FB1">
        <w:t xml:space="preserve"> and research </w:t>
      </w:r>
      <w:r w:rsidR="007F4684">
        <w:t>center staff</w:t>
      </w:r>
      <w:r w:rsidR="00B0308E">
        <w:t xml:space="preserve">, </w:t>
      </w:r>
      <w:r w:rsidR="00C9770E">
        <w:t>including</w:t>
      </w:r>
      <w:r w:rsidR="005333B0" w:rsidRPr="009B1FB1">
        <w:t xml:space="preserve"> RIC </w:t>
      </w:r>
      <w:r w:rsidR="007F4684">
        <w:t>Senior</w:t>
      </w:r>
      <w:r w:rsidR="005333B0" w:rsidRPr="009B1FB1">
        <w:t xml:space="preserve"> Attorney</w:t>
      </w:r>
      <w:r w:rsidR="007F4684">
        <w:t>,</w:t>
      </w:r>
      <w:r w:rsidR="00B0308E">
        <w:t xml:space="preserve"> </w:t>
      </w:r>
      <w:r w:rsidR="00B0308E" w:rsidRPr="009B1FB1">
        <w:t>Oliver Ho</w:t>
      </w:r>
      <w:r w:rsidR="00B0308E">
        <w:t xml:space="preserve">. </w:t>
      </w:r>
      <w:r w:rsidR="00822477">
        <w:t xml:space="preserve">In his </w:t>
      </w:r>
      <w:r w:rsidR="00B0308E">
        <w:t>presentation</w:t>
      </w:r>
      <w:r w:rsidR="00822477">
        <w:t>, Mr. Ho</w:t>
      </w:r>
      <w:r w:rsidR="00B0308E">
        <w:t xml:space="preserve"> </w:t>
      </w:r>
      <w:r w:rsidR="00822477">
        <w:t>assertively argued</w:t>
      </w:r>
      <w:r w:rsidR="00B0308E">
        <w:t xml:space="preserve"> that </w:t>
      </w:r>
      <w:r w:rsidR="00C9770E">
        <w:t xml:space="preserve">LGBT </w:t>
      </w:r>
      <w:r w:rsidR="00B0308E" w:rsidRPr="009B1FB1">
        <w:t>claimants’ testimonies should hold more weight in the adjudication process</w:t>
      </w:r>
      <w:r w:rsidR="000C7EFC">
        <w:t xml:space="preserve"> because </w:t>
      </w:r>
      <w:r w:rsidR="00822477">
        <w:t xml:space="preserve">material evidence was </w:t>
      </w:r>
      <w:r w:rsidR="000C7EFC">
        <w:t>particularly</w:t>
      </w:r>
      <w:r w:rsidR="00C9770E">
        <w:t xml:space="preserve"> </w:t>
      </w:r>
      <w:r w:rsidR="00822477">
        <w:t>difficult to obtain</w:t>
      </w:r>
      <w:r w:rsidR="00C9770E">
        <w:t xml:space="preserve"> in </w:t>
      </w:r>
      <w:r w:rsidR="000C7EFC">
        <w:t>this type of case</w:t>
      </w:r>
      <w:r w:rsidR="00B0308E">
        <w:t xml:space="preserve">. </w:t>
      </w:r>
      <w:r w:rsidR="00822477">
        <w:t>His statement prompted a slew of follow-up questions</w:t>
      </w:r>
      <w:r w:rsidR="00EF7A87">
        <w:t xml:space="preserve"> from the audience</w:t>
      </w:r>
      <w:r w:rsidR="00822477">
        <w:t xml:space="preserve">. </w:t>
      </w:r>
    </w:p>
    <w:p w14:paraId="18DC508D" w14:textId="4169352F" w:rsidR="007D50A4" w:rsidRPr="009B1FB1" w:rsidRDefault="00C9770E" w:rsidP="001B3E0D">
      <w:pPr>
        <w:pStyle w:val="PoLAR"/>
      </w:pPr>
      <w:r>
        <w:t>The first</w:t>
      </w:r>
      <w:r w:rsidR="007D50A4" w:rsidRPr="009B1FB1">
        <w:t xml:space="preserve"> asked Mr. Ho if he </w:t>
      </w:r>
      <w:r w:rsidR="00822477">
        <w:t>“</w:t>
      </w:r>
      <w:r w:rsidR="00B0308E">
        <w:t>had</w:t>
      </w:r>
      <w:r w:rsidR="005333B0" w:rsidRPr="009B1FB1">
        <w:t xml:space="preserve"> </w:t>
      </w:r>
      <w:r w:rsidR="007D50A4" w:rsidRPr="009B1FB1">
        <w:t>seen</w:t>
      </w:r>
      <w:r w:rsidR="005333B0" w:rsidRPr="009B1FB1">
        <w:t xml:space="preserve"> </w:t>
      </w:r>
      <w:r w:rsidR="00B0308E">
        <w:t>Asylum Officers evoke</w:t>
      </w:r>
      <w:r w:rsidR="00B972E5" w:rsidRPr="009B1FB1">
        <w:t xml:space="preserve"> </w:t>
      </w:r>
      <w:r w:rsidR="00822477">
        <w:t xml:space="preserve">LGBT </w:t>
      </w:r>
      <w:r w:rsidR="00B0308E">
        <w:t xml:space="preserve">stereotypes </w:t>
      </w:r>
      <w:r w:rsidR="007D50A4" w:rsidRPr="009B1FB1">
        <w:t xml:space="preserve">when </w:t>
      </w:r>
      <w:r w:rsidR="00B0308E">
        <w:t>questioning a</w:t>
      </w:r>
      <w:r w:rsidR="007D50A4" w:rsidRPr="009B1FB1">
        <w:t xml:space="preserve"> claimant</w:t>
      </w:r>
      <w:r w:rsidR="00822477">
        <w:t>?”</w:t>
      </w:r>
      <w:r w:rsidR="007D50A4" w:rsidRPr="009B1FB1">
        <w:t xml:space="preserve"> A second </w:t>
      </w:r>
      <w:r w:rsidR="00EF7A87">
        <w:t>noted</w:t>
      </w:r>
      <w:r w:rsidR="007D50A4" w:rsidRPr="009B1FB1">
        <w:t xml:space="preserve"> </w:t>
      </w:r>
      <w:r w:rsidR="00EF7A87">
        <w:t>“</w:t>
      </w:r>
      <w:r w:rsidR="007D50A4" w:rsidRPr="009B1FB1">
        <w:t>growing c</w:t>
      </w:r>
      <w:r w:rsidR="00822477">
        <w:t>oncerns</w:t>
      </w:r>
      <w:r w:rsidR="00EF7A87">
        <w:t>”</w:t>
      </w:r>
      <w:r w:rsidR="00822477">
        <w:t xml:space="preserve"> with “fraudulent claims</w:t>
      </w:r>
      <w:r w:rsidR="007D50A4" w:rsidRPr="009B1FB1">
        <w:t xml:space="preserve">” </w:t>
      </w:r>
      <w:r w:rsidR="00822477">
        <w:t>before asking</w:t>
      </w:r>
      <w:r w:rsidR="007D50A4" w:rsidRPr="009B1FB1">
        <w:t>: “what oth</w:t>
      </w:r>
      <w:r w:rsidR="00EF7A87">
        <w:t xml:space="preserve">er methods would you suggest, to </w:t>
      </w:r>
      <w:r w:rsidR="007F4684">
        <w:t>assess whether or not it</w:t>
      </w:r>
      <w:r w:rsidR="007D50A4" w:rsidRPr="009B1FB1">
        <w:t xml:space="preserve"> is a legitimate claim?”</w:t>
      </w:r>
      <w:r w:rsidR="00C35EDC">
        <w:t xml:space="preserve"> </w:t>
      </w:r>
      <w:r w:rsidR="007D50A4" w:rsidRPr="009B1FB1">
        <w:t>Addressing</w:t>
      </w:r>
      <w:r w:rsidR="00822477">
        <w:t xml:space="preserve"> both questions at once, Mr. Ho</w:t>
      </w:r>
      <w:r w:rsidR="005333B0" w:rsidRPr="009B1FB1">
        <w:t xml:space="preserve"> </w:t>
      </w:r>
      <w:r w:rsidR="00822477">
        <w:t xml:space="preserve">lamented </w:t>
      </w:r>
      <w:r w:rsidR="005333B0" w:rsidRPr="009B1FB1">
        <w:t xml:space="preserve">that </w:t>
      </w:r>
      <w:r w:rsidR="007F4684">
        <w:t>officials</w:t>
      </w:r>
      <w:r w:rsidR="005333B0" w:rsidRPr="009B1FB1">
        <w:t xml:space="preserve"> </w:t>
      </w:r>
      <w:r w:rsidR="00822477">
        <w:t xml:space="preserve">sometimes </w:t>
      </w:r>
      <w:r w:rsidR="007F4684">
        <w:t>he</w:t>
      </w:r>
      <w:r w:rsidR="005333B0" w:rsidRPr="009B1FB1">
        <w:t>ld</w:t>
      </w:r>
      <w:r w:rsidR="007D50A4" w:rsidRPr="009B1FB1">
        <w:t xml:space="preserve"> </w:t>
      </w:r>
      <w:r w:rsidR="005333B0" w:rsidRPr="009B1FB1">
        <w:t>“</w:t>
      </w:r>
      <w:r w:rsidR="007D50A4" w:rsidRPr="009B1FB1">
        <w:t>unfounded</w:t>
      </w:r>
      <w:r w:rsidR="005333B0" w:rsidRPr="009B1FB1">
        <w:t>”</w:t>
      </w:r>
      <w:r w:rsidR="007D50A4" w:rsidRPr="009B1FB1">
        <w:t xml:space="preserve"> views about LGBT people. “Not every gay person reads Oscar Wilde!” he joked, </w:t>
      </w:r>
      <w:r w:rsidR="00822477">
        <w:t>referencing</w:t>
      </w:r>
      <w:r w:rsidR="007D50A4" w:rsidRPr="009B1FB1">
        <w:t xml:space="preserve"> a recent </w:t>
      </w:r>
      <w:r w:rsidR="00EF7A87">
        <w:t>investigation into</w:t>
      </w:r>
      <w:r w:rsidR="007D50A4" w:rsidRPr="009B1FB1">
        <w:t xml:space="preserve"> inappropriate questioning of LGBT asylum claimants in </w:t>
      </w:r>
      <w:r w:rsidR="00EF7A87">
        <w:t>England</w:t>
      </w:r>
      <w:r w:rsidR="007D50A4" w:rsidRPr="009B1FB1">
        <w:t xml:space="preserve">. </w:t>
      </w:r>
      <w:r>
        <w:t>He</w:t>
      </w:r>
      <w:r w:rsidR="007D50A4" w:rsidRPr="009B1FB1">
        <w:t xml:space="preserve"> continued</w:t>
      </w:r>
      <w:r w:rsidR="007F4684">
        <w:t>, apparently responding to the second question</w:t>
      </w:r>
      <w:r w:rsidR="007D50A4" w:rsidRPr="009B1FB1">
        <w:t>:</w:t>
      </w:r>
    </w:p>
    <w:p w14:paraId="5C278854" w14:textId="77E2E875" w:rsidR="007D50A4" w:rsidRPr="009B1FB1" w:rsidRDefault="007D50A4" w:rsidP="00C9770E">
      <w:pPr>
        <w:pStyle w:val="Quote"/>
      </w:pPr>
      <w:r w:rsidRPr="009B1FB1">
        <w:lastRenderedPageBreak/>
        <w:t>One thing that I do find is helpful is that all LGBT people have a narrative about coming out to themselves. Even if it involves intense self-hatred, if it involves intense discomfort, if it involves-- and</w:t>
      </w:r>
      <w:r w:rsidR="00822477">
        <w:t>,</w:t>
      </w:r>
      <w:r w:rsidRPr="009B1FB1">
        <w:t xml:space="preserve"> you know</w:t>
      </w:r>
      <w:r w:rsidR="00822477">
        <w:t>,</w:t>
      </w:r>
      <w:r w:rsidRPr="009B1FB1">
        <w:t xml:space="preserve"> that’s a story that people who are pretending to be queer, they just don’t have as much of. You know, I hear a lot of-- I do encounter people who I simply don’t believe. I think they are simply trying to have an asylum claim. I don’t blame them. If you’re one inch away from deportation, I understand why you would want to do that. But one thing that their story lacks is this sort of building block, that sort of development of a story. I hear a lot of people go, “you know I had sex with this guy and that made me gay!” and then you get someone who says: “look, I have no </w:t>
      </w:r>
      <w:proofErr w:type="gramStart"/>
      <w:r w:rsidRPr="009B1FB1">
        <w:t>evidence</w:t>
      </w:r>
      <w:proofErr w:type="gramEnd"/>
      <w:r w:rsidRPr="009B1FB1">
        <w:t xml:space="preserve"> but I can tell you about when I first had these feelings for a guy.” I find that, as an attorney involved in these cases, as more credible.</w:t>
      </w:r>
    </w:p>
    <w:p w14:paraId="73A5F786" w14:textId="17918B90" w:rsidR="007D50A4" w:rsidRPr="009B1FB1" w:rsidRDefault="007D50A4" w:rsidP="000F2495">
      <w:pPr>
        <w:pStyle w:val="PoLAR"/>
      </w:pPr>
      <w:r w:rsidRPr="009B1FB1">
        <w:t xml:space="preserve">“Credibility” is a key component of </w:t>
      </w:r>
      <w:r w:rsidR="005333B0" w:rsidRPr="009B1FB1">
        <w:t xml:space="preserve">LGBT </w:t>
      </w:r>
      <w:r w:rsidR="0028303C">
        <w:t>asylum claim adjudication.</w:t>
      </w:r>
      <w:r w:rsidRPr="009B1FB1">
        <w:t xml:space="preserve"> </w:t>
      </w:r>
      <w:r w:rsidR="0028303C">
        <w:t>I</w:t>
      </w:r>
      <w:r w:rsidR="0028303C" w:rsidRPr="009B1FB1">
        <w:t xml:space="preserve">n the absence of other </w:t>
      </w:r>
      <w:r w:rsidR="0028303C" w:rsidRPr="00CD6142">
        <w:t>evidence</w:t>
      </w:r>
      <w:r w:rsidR="0028303C">
        <w:t>, adjudicators</w:t>
      </w:r>
      <w:r w:rsidRPr="009B1FB1">
        <w:t xml:space="preserve"> </w:t>
      </w:r>
      <w:r w:rsidR="0028303C">
        <w:t xml:space="preserve">can </w:t>
      </w:r>
      <w:r w:rsidRPr="009B1FB1">
        <w:t xml:space="preserve">base their </w:t>
      </w:r>
      <w:r w:rsidR="0028303C">
        <w:t>decision</w:t>
      </w:r>
      <w:r w:rsidRPr="009B1FB1">
        <w:t xml:space="preserve"> </w:t>
      </w:r>
      <w:r w:rsidR="00E6411B">
        <w:t xml:space="preserve">entirely on whether or not they find a claimant </w:t>
      </w:r>
      <w:r w:rsidR="007F4684">
        <w:t xml:space="preserve">to be </w:t>
      </w:r>
      <w:r w:rsidR="00E6411B">
        <w:t>credible</w:t>
      </w:r>
      <w:r w:rsidR="007F4684">
        <w:t>, or “authentic”</w:t>
      </w:r>
      <w:r w:rsidR="0028303C">
        <w:t xml:space="preserve"> </w:t>
      </w:r>
      <w:r w:rsidR="00E6411B">
        <w:t>(Middelkoop 2013</w:t>
      </w:r>
      <w:r w:rsidR="00C9770E">
        <w:t>; Murray 2016</w:t>
      </w:r>
      <w:r w:rsidR="00CD6142" w:rsidRPr="00CD6142">
        <w:t>)</w:t>
      </w:r>
      <w:r w:rsidRPr="009B1FB1">
        <w:t>.</w:t>
      </w:r>
      <w:r w:rsidR="00C9770E">
        <w:t xml:space="preserve"> Despite</w:t>
      </w:r>
      <w:r w:rsidRPr="009B1FB1">
        <w:t xml:space="preserve"> </w:t>
      </w:r>
      <w:r w:rsidR="007F4684">
        <w:t>refuting</w:t>
      </w:r>
      <w:r w:rsidRPr="009B1FB1">
        <w:t xml:space="preserve"> stereotypical expectations of</w:t>
      </w:r>
      <w:r w:rsidR="005333B0" w:rsidRPr="009B1FB1">
        <w:t xml:space="preserve"> LGBT claimants, </w:t>
      </w:r>
      <w:r w:rsidR="007F4684">
        <w:t>Mr. Ho asserted</w:t>
      </w:r>
      <w:r w:rsidR="00E6411B">
        <w:t xml:space="preserve"> </w:t>
      </w:r>
      <w:r w:rsidRPr="009B1FB1">
        <w:t>that all</w:t>
      </w:r>
      <w:r w:rsidRPr="009B1FB1">
        <w:rPr>
          <w:i/>
        </w:rPr>
        <w:t xml:space="preserve"> </w:t>
      </w:r>
      <w:r w:rsidRPr="009B1FB1">
        <w:t xml:space="preserve">LGBT people </w:t>
      </w:r>
      <w:r w:rsidR="00E6411B">
        <w:t>do</w:t>
      </w:r>
      <w:r w:rsidR="005333B0" w:rsidRPr="009B1FB1">
        <w:t>, in fact,</w:t>
      </w:r>
      <w:r w:rsidRPr="009B1FB1">
        <w:t xml:space="preserve"> have </w:t>
      </w:r>
      <w:r w:rsidR="00E6411B">
        <w:t>some</w:t>
      </w:r>
      <w:r w:rsidR="007F4684">
        <w:t xml:space="preserve">thing in </w:t>
      </w:r>
      <w:r w:rsidR="007F4684">
        <w:lastRenderedPageBreak/>
        <w:t>common:</w:t>
      </w:r>
      <w:r w:rsidRPr="009B1FB1">
        <w:t xml:space="preserve"> “a coming out narrative.” </w:t>
      </w:r>
      <w:r w:rsidR="007F4684">
        <w:t>By r</w:t>
      </w:r>
      <w:r w:rsidR="00E6411B">
        <w:t>eminding the audience that he is both</w:t>
      </w:r>
      <w:r w:rsidRPr="009B1FB1">
        <w:t xml:space="preserve"> an expert and advocate for LGBT asylum seekers, </w:t>
      </w:r>
      <w:r w:rsidR="005333B0" w:rsidRPr="009B1FB1">
        <w:t xml:space="preserve">Mr. Ho </w:t>
      </w:r>
      <w:r w:rsidR="007F4684">
        <w:t>framed</w:t>
      </w:r>
      <w:r w:rsidR="005333B0" w:rsidRPr="009B1FB1">
        <w:t xml:space="preserve"> his </w:t>
      </w:r>
      <w:r w:rsidR="00E6411B">
        <w:t>opinion as</w:t>
      </w:r>
      <w:r w:rsidRPr="009B1FB1">
        <w:t xml:space="preserve"> accurate and empathetic. </w:t>
      </w:r>
      <w:r w:rsidR="007F4684">
        <w:t>Yet he also revealed</w:t>
      </w:r>
      <w:r w:rsidR="00E6411B">
        <w:t xml:space="preserve"> </w:t>
      </w:r>
      <w:r w:rsidR="007F4684">
        <w:t xml:space="preserve">that </w:t>
      </w:r>
      <w:r w:rsidR="00E6411B">
        <w:t>he</w:t>
      </w:r>
      <w:r w:rsidRPr="009B1FB1">
        <w:t xml:space="preserve"> </w:t>
      </w:r>
      <w:r w:rsidR="009E73AD">
        <w:t xml:space="preserve">personally </w:t>
      </w:r>
      <w:r w:rsidRPr="009B1FB1">
        <w:t>evaluates potential clients’ credibility</w:t>
      </w:r>
      <w:r w:rsidR="002C26CA">
        <w:t>—</w:t>
      </w:r>
      <w:r w:rsidR="00765BC7">
        <w:t xml:space="preserve">effectively, </w:t>
      </w:r>
      <w:r w:rsidR="00C9770E">
        <w:t>how far he believes their story—on the basis of</w:t>
      </w:r>
      <w:r w:rsidRPr="009B1FB1">
        <w:t xml:space="preserve"> </w:t>
      </w:r>
      <w:r w:rsidR="00C9770E">
        <w:t>a</w:t>
      </w:r>
      <w:r w:rsidR="002C26CA">
        <w:t xml:space="preserve"> particular trope concerning LGBT subjectivity.</w:t>
      </w:r>
      <w:r w:rsidR="00B972E5" w:rsidRPr="009B1FB1">
        <w:t xml:space="preserve"> </w:t>
      </w:r>
      <w:r w:rsidR="002C26CA">
        <w:t>Audience members</w:t>
      </w:r>
      <w:r w:rsidR="00AB65A3">
        <w:t xml:space="preserve">, </w:t>
      </w:r>
      <w:r w:rsidRPr="009B1FB1">
        <w:t>USCIS representatives included</w:t>
      </w:r>
      <w:r w:rsidR="00AB65A3">
        <w:t xml:space="preserve">, </w:t>
      </w:r>
      <w:r w:rsidR="00C9770E">
        <w:t xml:space="preserve">dutifully </w:t>
      </w:r>
      <w:r w:rsidR="00EF7A87">
        <w:t>noted</w:t>
      </w:r>
      <w:r w:rsidR="00C9770E">
        <w:t xml:space="preserve"> his advice.</w:t>
      </w:r>
      <w:r w:rsidR="003344CC">
        <w:t xml:space="preserve"> </w:t>
      </w:r>
    </w:p>
    <w:p w14:paraId="4226FC0E" w14:textId="0A3B9BB5" w:rsidR="00026703" w:rsidRDefault="007F2B29" w:rsidP="00026703">
      <w:pPr>
        <w:pStyle w:val="PoLAR"/>
      </w:pPr>
      <w:r>
        <w:t xml:space="preserve">Yet </w:t>
      </w:r>
      <w:r w:rsidR="007D50A4" w:rsidRPr="009B1FB1">
        <w:t>Mr. Ho’s persp</w:t>
      </w:r>
      <w:r w:rsidR="005333B0" w:rsidRPr="009B1FB1">
        <w:t xml:space="preserve">ective </w:t>
      </w:r>
      <w:r w:rsidR="007813D6">
        <w:t>ran</w:t>
      </w:r>
      <w:r w:rsidR="007D50A4" w:rsidRPr="009B1FB1">
        <w:t xml:space="preserve"> counter to the lived experience</w:t>
      </w:r>
      <w:r w:rsidR="002C26CA">
        <w:t>s</w:t>
      </w:r>
      <w:r w:rsidR="007D50A4" w:rsidRPr="009B1FB1">
        <w:t xml:space="preserve"> of many of my LGBT asylum seeker interlocutors. His assertion that a “coming out narrative” is an essentia</w:t>
      </w:r>
      <w:r w:rsidR="007813D6">
        <w:t>l marker of LGBT identity reified</w:t>
      </w:r>
      <w:r w:rsidR="007D50A4" w:rsidRPr="009B1FB1">
        <w:t xml:space="preserve"> a Western, neoliberal s</w:t>
      </w:r>
      <w:r w:rsidR="00BD63CB">
        <w:t xml:space="preserve">ubject position informed by the </w:t>
      </w:r>
      <w:r w:rsidR="007D50A4" w:rsidRPr="009B1FB1">
        <w:t xml:space="preserve">experiences </w:t>
      </w:r>
      <w:r w:rsidR="002C26CA">
        <w:t xml:space="preserve">of </w:t>
      </w:r>
      <w:r w:rsidR="007D50A4" w:rsidRPr="009B1FB1">
        <w:t>white, U.S.-based</w:t>
      </w:r>
      <w:r>
        <w:t xml:space="preserve"> gay</w:t>
      </w:r>
      <w:r w:rsidR="007D50A4" w:rsidRPr="009B1FB1">
        <w:t xml:space="preserve"> </w:t>
      </w:r>
      <w:r w:rsidR="00DC70BB">
        <w:t xml:space="preserve">men (Decena </w:t>
      </w:r>
      <w:r w:rsidR="00DC70BB" w:rsidRPr="00235779">
        <w:t>2008b;</w:t>
      </w:r>
      <w:r w:rsidRPr="00235779">
        <w:t xml:space="preserve"> Acosta </w:t>
      </w:r>
      <w:r w:rsidR="00235779" w:rsidRPr="00235779">
        <w:t>2008</w:t>
      </w:r>
      <w:r w:rsidR="00235779">
        <w:t>)</w:t>
      </w:r>
      <w:r w:rsidR="007D50A4" w:rsidRPr="009B1FB1">
        <w:t xml:space="preserve"> The progressive </w:t>
      </w:r>
      <w:r w:rsidR="002C26CA" w:rsidRPr="009B1FB1">
        <w:t>linearity</w:t>
      </w:r>
      <w:r w:rsidR="007D50A4" w:rsidRPr="009B1FB1">
        <w:t xml:space="preserve"> of </w:t>
      </w:r>
      <w:r w:rsidR="002C26CA">
        <w:t>Mr. Ho’s</w:t>
      </w:r>
      <w:r w:rsidR="007D50A4" w:rsidRPr="009B1FB1">
        <w:t xml:space="preserve"> idealized, universalized narrative—replete with “building blocks” and “development” from </w:t>
      </w:r>
      <w:r w:rsidR="002C26CA">
        <w:t xml:space="preserve">“intense </w:t>
      </w:r>
      <w:r w:rsidR="007D50A4" w:rsidRPr="009B1FB1">
        <w:t>self-hatred</w:t>
      </w:r>
      <w:r w:rsidR="002C26CA">
        <w:t>”</w:t>
      </w:r>
      <w:r w:rsidR="007D50A4" w:rsidRPr="009B1FB1">
        <w:t xml:space="preserve"> to self-acceptance—</w:t>
      </w:r>
      <w:r>
        <w:t>frames</w:t>
      </w:r>
      <w:r w:rsidR="007D50A4" w:rsidRPr="009B1FB1">
        <w:t xml:space="preserve"> </w:t>
      </w:r>
      <w:r w:rsidR="002C26CA">
        <w:t xml:space="preserve">the normative </w:t>
      </w:r>
      <w:r w:rsidR="002C26CA" w:rsidRPr="009B1FB1">
        <w:t xml:space="preserve">LGBT asylum seeker </w:t>
      </w:r>
      <w:r w:rsidR="002C26CA">
        <w:t>as</w:t>
      </w:r>
      <w:r w:rsidR="007813D6">
        <w:t xml:space="preserve"> </w:t>
      </w:r>
      <w:r w:rsidR="002C26CA">
        <w:t>once closeted and</w:t>
      </w:r>
      <w:r w:rsidR="007D50A4" w:rsidRPr="009B1FB1">
        <w:t xml:space="preserve"> miserable</w:t>
      </w:r>
      <w:r>
        <w:t>,</w:t>
      </w:r>
      <w:r w:rsidR="007813D6">
        <w:t xml:space="preserve"> but</w:t>
      </w:r>
      <w:r w:rsidR="007D50A4" w:rsidRPr="009B1FB1">
        <w:t xml:space="preserve"> achieving stability and authenticity (or, “credibility”) through </w:t>
      </w:r>
      <w:r>
        <w:t xml:space="preserve">the act of </w:t>
      </w:r>
      <w:r w:rsidR="007D50A4" w:rsidRPr="009B1FB1">
        <w:t xml:space="preserve">coming out. </w:t>
      </w:r>
    </w:p>
    <w:p w14:paraId="5DD0268A" w14:textId="4DAB749A" w:rsidR="007D50A4" w:rsidRPr="009B1FB1" w:rsidRDefault="00D81711" w:rsidP="000F2495">
      <w:pPr>
        <w:pStyle w:val="PoLAR"/>
      </w:pPr>
      <w:r>
        <w:t>This</w:t>
      </w:r>
      <w:r w:rsidR="00026703">
        <w:t xml:space="preserve"> </w:t>
      </w:r>
      <w:r w:rsidR="007D50A4" w:rsidRPr="009B1FB1">
        <w:t xml:space="preserve">understanding of LGBT experiences echoes the “homosexual identity formation model” </w:t>
      </w:r>
      <w:r w:rsidR="00026703">
        <w:t xml:space="preserve">of </w:t>
      </w:r>
      <w:r w:rsidR="007D50A4" w:rsidRPr="009B1FB1">
        <w:t xml:space="preserve">Australian psychologist Vivian Cass </w:t>
      </w:r>
      <w:r w:rsidR="00CD6142" w:rsidRPr="00CD6142">
        <w:t xml:space="preserve">(1979), which has been </w:t>
      </w:r>
      <w:r>
        <w:t xml:space="preserve">broadly </w:t>
      </w:r>
      <w:r w:rsidR="00CD6142" w:rsidRPr="00CD6142">
        <w:t>embraced by adjudicators considering LGBT as</w:t>
      </w:r>
      <w:r w:rsidR="00E6411B">
        <w:t>ylum claims</w:t>
      </w:r>
      <w:r w:rsidR="00EC4010">
        <w:t xml:space="preserve"> (</w:t>
      </w:r>
      <w:r w:rsidR="00EC4010" w:rsidRPr="009B1FB1">
        <w:t>Berg and Millbank 2009</w:t>
      </w:r>
      <w:r w:rsidR="00EC4010">
        <w:t>)</w:t>
      </w:r>
      <w:r w:rsidR="00026703">
        <w:t xml:space="preserve">. </w:t>
      </w:r>
      <w:r w:rsidR="00B72580">
        <w:t xml:space="preserve">As </w:t>
      </w:r>
      <w:r w:rsidR="00026703">
        <w:t>Berg and Millbank</w:t>
      </w:r>
      <w:r w:rsidR="00CD6142" w:rsidRPr="00CD6142">
        <w:t xml:space="preserve"> </w:t>
      </w:r>
      <w:r w:rsidR="00026703">
        <w:t xml:space="preserve">argue, however, </w:t>
      </w:r>
      <w:r w:rsidR="00B72580">
        <w:t>the</w:t>
      </w:r>
      <w:r w:rsidR="00026703">
        <w:t xml:space="preserve"> </w:t>
      </w:r>
      <w:r w:rsidR="00B72580">
        <w:t>framework</w:t>
      </w:r>
      <w:r w:rsidR="00CD6142" w:rsidRPr="00CD6142">
        <w:t xml:space="preserve"> is:</w:t>
      </w:r>
      <w:r w:rsidR="00026703">
        <w:t xml:space="preserve"> “</w:t>
      </w:r>
      <w:r w:rsidR="007D50A4" w:rsidRPr="009B1FB1">
        <w:t xml:space="preserve">based </w:t>
      </w:r>
      <w:r w:rsidR="007D50A4" w:rsidRPr="009B1FB1">
        <w:lastRenderedPageBreak/>
        <w:t>upon a specific cultural and gendered experience of sexuality that may not be more broadly applicable</w:t>
      </w:r>
      <w:r w:rsidR="00026703">
        <w:t>,</w:t>
      </w:r>
      <w:r w:rsidR="007D50A4" w:rsidRPr="009B1FB1">
        <w:t xml:space="preserve"> and</w:t>
      </w:r>
      <w:r w:rsidR="00026703">
        <w:t xml:space="preserve"> that even within such caveats</w:t>
      </w:r>
      <w:r w:rsidR="007D50A4" w:rsidRPr="009B1FB1">
        <w:t xml:space="preserve"> cannot adequately account for the diversity o</w:t>
      </w:r>
      <w:r w:rsidR="00026703">
        <w:t>f human experience of sexuality”</w:t>
      </w:r>
      <w:r w:rsidR="007D50A4" w:rsidRPr="009B1FB1">
        <w:t xml:space="preserve"> </w:t>
      </w:r>
      <w:r w:rsidR="00026703">
        <w:t xml:space="preserve">(2009, 207). </w:t>
      </w:r>
      <w:r w:rsidR="00DB4F45">
        <w:t>By framing “fully formed”</w:t>
      </w:r>
      <w:r w:rsidR="00026703">
        <w:t xml:space="preserve"> sexuality a</w:t>
      </w:r>
      <w:r w:rsidR="007D50A4" w:rsidRPr="009B1FB1">
        <w:t xml:space="preserve">s “fixed and discoverable” (Berg and Millbank 2009, 208), </w:t>
      </w:r>
      <w:r w:rsidR="00DB4F45">
        <w:t>the Cass model</w:t>
      </w:r>
      <w:r w:rsidR="00EF5D22">
        <w:t xml:space="preserve"> denies</w:t>
      </w:r>
      <w:r w:rsidR="00EF5D22" w:rsidRPr="009B1FB1">
        <w:t xml:space="preserve"> the fluidity of sexuality</w:t>
      </w:r>
      <w:r w:rsidR="00C72C82">
        <w:t>,</w:t>
      </w:r>
      <w:r w:rsidR="00DB4F45">
        <w:t xml:space="preserve"> </w:t>
      </w:r>
      <w:r w:rsidR="00C72C82">
        <w:t>supporting</w:t>
      </w:r>
      <w:r w:rsidR="00DB4F45">
        <w:t xml:space="preserve"> enduring understandings of bisexuality as a “primitive” expression of sexuality, or as a stepping stone on an incomplete journey (</w:t>
      </w:r>
      <w:r w:rsidR="00DB4F45" w:rsidRPr="00235779">
        <w:t xml:space="preserve">Hemmings </w:t>
      </w:r>
      <w:r w:rsidR="00235779">
        <w:t>2007,</w:t>
      </w:r>
      <w:r w:rsidR="00DB4F45">
        <w:t xml:space="preserve"> </w:t>
      </w:r>
      <w:r w:rsidR="00235779">
        <w:t>14</w:t>
      </w:r>
      <w:r w:rsidR="00DB4F45">
        <w:t xml:space="preserve">). </w:t>
      </w:r>
      <w:r w:rsidR="00C72C82">
        <w:t xml:space="preserve">Developmental </w:t>
      </w:r>
      <w:r w:rsidR="00DB4F45">
        <w:t>paradigm</w:t>
      </w:r>
      <w:r w:rsidR="00C72C82">
        <w:t>s</w:t>
      </w:r>
      <w:r w:rsidR="00026703">
        <w:t xml:space="preserve"> </w:t>
      </w:r>
      <w:r w:rsidR="00C72C82">
        <w:t>justify</w:t>
      </w:r>
      <w:r w:rsidR="00026703">
        <w:t xml:space="preserve"> </w:t>
      </w:r>
      <w:r w:rsidR="00DB4F45">
        <w:t xml:space="preserve">asylum </w:t>
      </w:r>
      <w:r w:rsidR="00EF5D22">
        <w:t xml:space="preserve">adjudicators’ </w:t>
      </w:r>
      <w:r w:rsidR="00C72C82">
        <w:t>pervasive suspicion of bisexual claimants (Rehaag 2009)</w:t>
      </w:r>
      <w:r w:rsidR="00D45D97">
        <w:t>,</w:t>
      </w:r>
      <w:r w:rsidR="00C72C82">
        <w:t xml:space="preserve"> and </w:t>
      </w:r>
      <w:r w:rsidR="00B72580">
        <w:t xml:space="preserve">their </w:t>
      </w:r>
      <w:r w:rsidR="007D50A4" w:rsidRPr="009B1FB1">
        <w:t>expectation</w:t>
      </w:r>
      <w:r w:rsidR="00D45D97">
        <w:t>s</w:t>
      </w:r>
      <w:r w:rsidR="007D50A4" w:rsidRPr="009B1FB1">
        <w:t xml:space="preserve"> that LGBT </w:t>
      </w:r>
      <w:r w:rsidR="00DB4F45">
        <w:t xml:space="preserve">claimants </w:t>
      </w:r>
      <w:r w:rsidR="007D50A4" w:rsidRPr="009B1FB1">
        <w:t>“prove” their sexual</w:t>
      </w:r>
      <w:r w:rsidR="00026703">
        <w:t>ity</w:t>
      </w:r>
      <w:r w:rsidR="00DB4F45">
        <w:t xml:space="preserve">—an </w:t>
      </w:r>
      <w:r>
        <w:t xml:space="preserve">expectation Mr. Ho </w:t>
      </w:r>
      <w:r w:rsidR="00C72C82">
        <w:t>ostensibly</w:t>
      </w:r>
      <w:r>
        <w:t xml:space="preserve"> </w:t>
      </w:r>
      <w:r w:rsidR="00EC4010">
        <w:t>oppose</w:t>
      </w:r>
      <w:r w:rsidR="00C72C82">
        <w:t>d</w:t>
      </w:r>
      <w:r w:rsidR="008438B8">
        <w:t xml:space="preserve">. In underscoring </w:t>
      </w:r>
      <w:r w:rsidR="00EF5D22">
        <w:t>his</w:t>
      </w:r>
      <w:r w:rsidR="003939FE">
        <w:t xml:space="preserve"> </w:t>
      </w:r>
      <w:r w:rsidR="0031298A">
        <w:t xml:space="preserve">own </w:t>
      </w:r>
      <w:r w:rsidR="003939FE">
        <w:t>conceptualization of “credible” LGBT subjectivity,</w:t>
      </w:r>
      <w:r w:rsidR="00EF5D22" w:rsidRPr="00EF5D22">
        <w:t xml:space="preserve"> </w:t>
      </w:r>
      <w:r w:rsidR="008438B8">
        <w:t xml:space="preserve">however, </w:t>
      </w:r>
      <w:r w:rsidR="00C72C82">
        <w:t>Mr. Ho</w:t>
      </w:r>
      <w:r w:rsidR="008438B8">
        <w:t xml:space="preserve"> </w:t>
      </w:r>
      <w:r>
        <w:t>rendered</w:t>
      </w:r>
      <w:r w:rsidR="007D50A4" w:rsidRPr="009B1FB1">
        <w:t xml:space="preserve"> </w:t>
      </w:r>
      <w:r w:rsidR="003939FE">
        <w:t xml:space="preserve">further </w:t>
      </w:r>
      <w:r w:rsidR="007D50A4" w:rsidRPr="009B1FB1">
        <w:t xml:space="preserve">suspect </w:t>
      </w:r>
      <w:r w:rsidR="008438B8">
        <w:t>those claimants</w:t>
      </w:r>
      <w:r w:rsidR="007D50A4" w:rsidRPr="009B1FB1">
        <w:t xml:space="preserve"> whose </w:t>
      </w:r>
      <w:r>
        <w:t xml:space="preserve">experiences </w:t>
      </w:r>
      <w:r w:rsidR="00C72C82">
        <w:t>do</w:t>
      </w:r>
      <w:r w:rsidR="003939FE">
        <w:t xml:space="preserve"> not con</w:t>
      </w:r>
      <w:r>
        <w:t>form to (stereo)type</w:t>
      </w:r>
      <w:r w:rsidR="007D50A4" w:rsidRPr="009B1FB1">
        <w:t xml:space="preserve">. </w:t>
      </w:r>
    </w:p>
    <w:p w14:paraId="1F2B0007" w14:textId="773A1A64" w:rsidR="007D50A4" w:rsidRPr="009B1FB1" w:rsidRDefault="005C6A51" w:rsidP="001B3E0D">
      <w:pPr>
        <w:pStyle w:val="PoLAR"/>
      </w:pPr>
      <w:r>
        <w:t>Asylum officers’</w:t>
      </w:r>
      <w:r w:rsidR="003939FE">
        <w:t xml:space="preserve"> </w:t>
      </w:r>
      <w:r w:rsidR="007D50A4" w:rsidRPr="009B1FB1">
        <w:t>focus on</w:t>
      </w:r>
      <w:r w:rsidR="003939FE">
        <w:t xml:space="preserve"> </w:t>
      </w:r>
      <w:r>
        <w:t>claimants’</w:t>
      </w:r>
      <w:r w:rsidRPr="009B1FB1">
        <w:t xml:space="preserve"> </w:t>
      </w:r>
      <w:r w:rsidR="003939FE">
        <w:t xml:space="preserve">childhood experiences and </w:t>
      </w:r>
      <w:r w:rsidR="007D50A4" w:rsidRPr="009B1FB1">
        <w:t>“discovery” of their sexuality as ostensible sources of credibility</w:t>
      </w:r>
      <w:r w:rsidR="005D0746">
        <w:t xml:space="preserve"> </w:t>
      </w:r>
      <w:r>
        <w:t>typifies</w:t>
      </w:r>
      <w:r w:rsidR="005D0746">
        <w:t xml:space="preserve"> </w:t>
      </w:r>
      <w:r>
        <w:t xml:space="preserve">how </w:t>
      </w:r>
      <w:r w:rsidR="005D0746">
        <w:t xml:space="preserve">the </w:t>
      </w:r>
      <w:r>
        <w:t>stage</w:t>
      </w:r>
      <w:r w:rsidR="005D0746" w:rsidRPr="009B1FB1">
        <w:t xml:space="preserve"> model</w:t>
      </w:r>
      <w:r w:rsidR="005D0746">
        <w:t xml:space="preserve"> influence</w:t>
      </w:r>
      <w:r>
        <w:t>s LGBT case adjudication</w:t>
      </w:r>
      <w:r w:rsidR="007D50A4" w:rsidRPr="009B1FB1">
        <w:t xml:space="preserve">. </w:t>
      </w:r>
      <w:r>
        <w:t xml:space="preserve">As </w:t>
      </w:r>
      <w:r w:rsidR="007D50A4" w:rsidRPr="009B1FB1">
        <w:t>Yasmin, a lesbia</w:t>
      </w:r>
      <w:r w:rsidR="00243950">
        <w:t xml:space="preserve">n asylee from Tunisia, recalled </w:t>
      </w:r>
      <w:r>
        <w:t xml:space="preserve">of her </w:t>
      </w:r>
      <w:r w:rsidR="003939FE">
        <w:t>asylum interview</w:t>
      </w:r>
      <w:r w:rsidR="007D50A4" w:rsidRPr="009B1FB1">
        <w:t>:</w:t>
      </w:r>
    </w:p>
    <w:p w14:paraId="4FACCFC1" w14:textId="6A7ED9BC" w:rsidR="007D50A4" w:rsidRPr="009B1FB1" w:rsidRDefault="003939FE" w:rsidP="00C35EDC">
      <w:pPr>
        <w:pStyle w:val="Quote"/>
      </w:pPr>
      <w:r>
        <w:t xml:space="preserve">[The </w:t>
      </w:r>
      <w:r w:rsidR="00C35EDC">
        <w:t>O</w:t>
      </w:r>
      <w:r>
        <w:t>fficer]</w:t>
      </w:r>
      <w:r w:rsidR="007D50A4" w:rsidRPr="009B1FB1">
        <w:t xml:space="preserve"> questioned me a lot about how I discover my sexuality, like he </w:t>
      </w:r>
      <w:proofErr w:type="gramStart"/>
      <w:r w:rsidR="007D50A4" w:rsidRPr="009B1FB1">
        <w:t>want</w:t>
      </w:r>
      <w:proofErr w:type="gramEnd"/>
      <w:r w:rsidR="007D50A4" w:rsidRPr="009B1FB1">
        <w:t xml:space="preserve"> to know. He </w:t>
      </w:r>
      <w:proofErr w:type="gramStart"/>
      <w:r w:rsidR="007D50A4" w:rsidRPr="009B1FB1">
        <w:t>know</w:t>
      </w:r>
      <w:proofErr w:type="gramEnd"/>
      <w:r w:rsidR="007D50A4" w:rsidRPr="009B1FB1">
        <w:t xml:space="preserve"> the story. He </w:t>
      </w:r>
      <w:proofErr w:type="gramStart"/>
      <w:r w:rsidR="007D50A4" w:rsidRPr="009B1FB1">
        <w:t>know</w:t>
      </w:r>
      <w:proofErr w:type="gramEnd"/>
      <w:r w:rsidR="007D50A4" w:rsidRPr="009B1FB1">
        <w:t xml:space="preserve"> the fact. [But] he </w:t>
      </w:r>
      <w:proofErr w:type="gramStart"/>
      <w:r w:rsidR="007D50A4" w:rsidRPr="009B1FB1">
        <w:t>want</w:t>
      </w:r>
      <w:proofErr w:type="gramEnd"/>
      <w:r w:rsidR="007D50A4" w:rsidRPr="009B1FB1">
        <w:t xml:space="preserve"> to be sure that I'm a lesbian, you know. The way </w:t>
      </w:r>
      <w:r w:rsidR="007D50A4" w:rsidRPr="009B1FB1">
        <w:lastRenderedPageBreak/>
        <w:t xml:space="preserve">I saw it, it was actually like three </w:t>
      </w:r>
      <w:proofErr w:type="gramStart"/>
      <w:r w:rsidR="007D50A4" w:rsidRPr="009B1FB1">
        <w:t>part</w:t>
      </w:r>
      <w:proofErr w:type="gramEnd"/>
      <w:r w:rsidR="007D50A4" w:rsidRPr="009B1FB1">
        <w:t xml:space="preserve">[s]: First part childhood, like when I grew up and the way I know I'm a lesbian and everything, how people knows I'm a lesbian and [if] people been asking me if I'm a lesbian. He took a lot of time asking this question. It's been like whole interview focusing about that. He </w:t>
      </w:r>
      <w:proofErr w:type="gramStart"/>
      <w:r w:rsidR="007D50A4" w:rsidRPr="009B1FB1">
        <w:t>want</w:t>
      </w:r>
      <w:proofErr w:type="gramEnd"/>
      <w:r w:rsidR="007D50A4" w:rsidRPr="009B1FB1">
        <w:t xml:space="preserve"> to know if for real I'm lesbian or no. He been like, "I didn't understand that, one more time?" </w:t>
      </w:r>
    </w:p>
    <w:p w14:paraId="33AAF655" w14:textId="7E53E6F9" w:rsidR="007D50A4" w:rsidRPr="009B1FB1" w:rsidRDefault="005C6A51" w:rsidP="000F2495">
      <w:pPr>
        <w:pStyle w:val="PoLAR"/>
      </w:pPr>
      <w:r>
        <w:t>For</w:t>
      </w:r>
      <w:r w:rsidR="007031BC" w:rsidRPr="009B1FB1">
        <w:t xml:space="preserve"> </w:t>
      </w:r>
      <w:r>
        <w:t>the</w:t>
      </w:r>
      <w:r w:rsidR="007031BC" w:rsidRPr="009B1FB1">
        <w:t xml:space="preserve"> interviewer, </w:t>
      </w:r>
      <w:r w:rsidR="007D50A4" w:rsidRPr="009B1FB1">
        <w:t>Yasmin’s credibility hinge</w:t>
      </w:r>
      <w:r w:rsidR="003939FE">
        <w:t>d</w:t>
      </w:r>
      <w:r w:rsidR="007D50A4" w:rsidRPr="009B1FB1">
        <w:t xml:space="preserve"> on her abi</w:t>
      </w:r>
      <w:r w:rsidR="00C35EDC">
        <w:t>lity to convincingly elucidate—</w:t>
      </w:r>
      <w:r w:rsidR="007D50A4" w:rsidRPr="009B1FB1">
        <w:t>to</w:t>
      </w:r>
      <w:r w:rsidR="00C35EDC">
        <w:t xml:space="preserve"> borrow Mr. Ho’s phrasing—</w:t>
      </w:r>
      <w:r w:rsidR="007D50A4" w:rsidRPr="009B1FB1">
        <w:t>a “narrative of coming o</w:t>
      </w:r>
      <w:r w:rsidR="007031BC" w:rsidRPr="009B1FB1">
        <w:t>ut to herself,</w:t>
      </w:r>
      <w:r w:rsidR="007D50A4" w:rsidRPr="009B1FB1">
        <w:t xml:space="preserve">” </w:t>
      </w:r>
      <w:r w:rsidR="007031BC" w:rsidRPr="009B1FB1">
        <w:t xml:space="preserve">or </w:t>
      </w:r>
      <w:r w:rsidR="007D50A4" w:rsidRPr="009B1FB1">
        <w:t xml:space="preserve">of realizing she was a lesbian, “for real.” Yet, as </w:t>
      </w:r>
      <w:r w:rsidR="0031298A">
        <w:t xml:space="preserve">Eve </w:t>
      </w:r>
      <w:r>
        <w:t>Sedgwick reminds us,</w:t>
      </w:r>
      <w:r w:rsidR="007D50A4" w:rsidRPr="009B1FB1">
        <w:t xml:space="preserve"> “many gay adults may never have been gay kids and some gay kids may not turn into gay adults” </w:t>
      </w:r>
      <w:r w:rsidR="00CD6142" w:rsidRPr="00CD6142">
        <w:t xml:space="preserve">(1990, 42). Moreover, this is not Yasmin’s volunteered </w:t>
      </w:r>
      <w:r>
        <w:t>narrative, but rather</w:t>
      </w:r>
      <w:r w:rsidR="00CD6142" w:rsidRPr="00CD6142">
        <w:t xml:space="preserve"> one </w:t>
      </w:r>
      <w:r>
        <w:t xml:space="preserve">that </w:t>
      </w:r>
      <w:r w:rsidR="007D50A4" w:rsidRPr="009B1FB1">
        <w:t xml:space="preserve">the interviewer </w:t>
      </w:r>
      <w:r w:rsidRPr="009B1FB1">
        <w:t>prompts</w:t>
      </w:r>
      <w:r w:rsidR="007D50A4" w:rsidRPr="009B1FB1">
        <w:t xml:space="preserve">, </w:t>
      </w:r>
      <w:r>
        <w:t>then</w:t>
      </w:r>
      <w:r w:rsidR="007D50A4" w:rsidRPr="009B1FB1">
        <w:t xml:space="preserve"> seeks to verify.</w:t>
      </w:r>
    </w:p>
    <w:p w14:paraId="0F49AE48" w14:textId="1BB28A0D" w:rsidR="007D50A4" w:rsidRPr="009B1FB1" w:rsidRDefault="00927FBE" w:rsidP="001B3E0D">
      <w:pPr>
        <w:pStyle w:val="PoLAR"/>
      </w:pPr>
      <w:r>
        <w:t xml:space="preserve">It is also </w:t>
      </w:r>
      <w:r w:rsidR="005C6A51">
        <w:t>the</w:t>
      </w:r>
      <w:r w:rsidR="00166B94">
        <w:t xml:space="preserve"> narrative that Yasmin had practiced</w:t>
      </w:r>
      <w:r>
        <w:t xml:space="preserve"> under guidance from her </w:t>
      </w:r>
      <w:proofErr w:type="gramStart"/>
      <w:r w:rsidR="0064343A">
        <w:t>lawyer</w:t>
      </w:r>
      <w:r>
        <w:t xml:space="preserve">, </w:t>
      </w:r>
      <w:r w:rsidR="007D50A4" w:rsidRPr="009B1FB1">
        <w:t>because</w:t>
      </w:r>
      <w:proofErr w:type="gramEnd"/>
      <w:r w:rsidR="007D50A4" w:rsidRPr="009B1FB1">
        <w:t xml:space="preserve"> </w:t>
      </w:r>
      <w:r w:rsidR="0064343A">
        <w:t>she</w:t>
      </w:r>
      <w:r w:rsidR="00170B83">
        <w:t xml:space="preserve"> </w:t>
      </w:r>
      <w:r w:rsidR="0064343A">
        <w:t>anticipated</w:t>
      </w:r>
      <w:r w:rsidR="00170B83">
        <w:t xml:space="preserve"> </w:t>
      </w:r>
      <w:r w:rsidR="0031298A">
        <w:t xml:space="preserve">Yasmin’s </w:t>
      </w:r>
      <w:r>
        <w:t>way of telling her story</w:t>
      </w:r>
      <w:r w:rsidR="007D50A4" w:rsidRPr="009B1FB1">
        <w:t xml:space="preserve"> </w:t>
      </w:r>
      <w:r>
        <w:t>was</w:t>
      </w:r>
      <w:r w:rsidR="007D50A4" w:rsidRPr="009B1FB1">
        <w:t xml:space="preserve"> </w:t>
      </w:r>
      <w:r w:rsidR="00170B83">
        <w:t xml:space="preserve">unlikely </w:t>
      </w:r>
      <w:r w:rsidR="007D50A4" w:rsidRPr="009B1FB1">
        <w:t xml:space="preserve">to </w:t>
      </w:r>
      <w:r>
        <w:t>meet adjudicators’ expectations.</w:t>
      </w:r>
      <w:r w:rsidR="005115C4">
        <w:t xml:space="preserve"> A</w:t>
      </w:r>
      <w:r w:rsidR="007D50A4" w:rsidRPr="009B1FB1">
        <w:t xml:space="preserve">ttorneys regularly work with their clients on </w:t>
      </w:r>
      <w:r>
        <w:t>strengthening credibility</w:t>
      </w:r>
      <w:r w:rsidR="0064343A">
        <w:t>, an experience that</w:t>
      </w:r>
      <w:r w:rsidR="007D50A4" w:rsidRPr="009B1FB1">
        <w:t xml:space="preserve"> </w:t>
      </w:r>
      <w:r>
        <w:t>Nikolai, a gay man from Russia,</w:t>
      </w:r>
      <w:r w:rsidR="007B34E0">
        <w:t xml:space="preserve"> found</w:t>
      </w:r>
      <w:r>
        <w:t xml:space="preserve"> challenging</w:t>
      </w:r>
      <w:r w:rsidR="007B34E0">
        <w:t>, and unexpected</w:t>
      </w:r>
      <w:r>
        <w:t xml:space="preserve">. He had </w:t>
      </w:r>
      <w:r w:rsidR="007B34E0">
        <w:t xml:space="preserve">initially </w:t>
      </w:r>
      <w:r>
        <w:t xml:space="preserve">worked on his case </w:t>
      </w:r>
      <w:r w:rsidR="0064343A">
        <w:t>independently</w:t>
      </w:r>
      <w:r>
        <w:t>, downloading</w:t>
      </w:r>
      <w:r w:rsidR="007D50A4" w:rsidRPr="009B1FB1">
        <w:t xml:space="preserve"> </w:t>
      </w:r>
      <w:r>
        <w:t>forms from the USCIS website</w:t>
      </w:r>
      <w:r w:rsidR="0064343A">
        <w:t>,</w:t>
      </w:r>
      <w:r w:rsidR="007B34E0">
        <w:t xml:space="preserve"> collecting </w:t>
      </w:r>
      <w:r w:rsidR="0064343A">
        <w:t xml:space="preserve">supporting </w:t>
      </w:r>
      <w:r w:rsidR="0064343A">
        <w:lastRenderedPageBreak/>
        <w:t>documents, and translating his</w:t>
      </w:r>
      <w:r w:rsidR="007D50A4" w:rsidRPr="009B1FB1">
        <w:t xml:space="preserve"> </w:t>
      </w:r>
      <w:r>
        <w:t xml:space="preserve">affidavit </w:t>
      </w:r>
      <w:r w:rsidR="007D50A4" w:rsidRPr="009B1FB1">
        <w:t xml:space="preserve">into English with the help of </w:t>
      </w:r>
      <w:r w:rsidR="0064343A">
        <w:t xml:space="preserve">his </w:t>
      </w:r>
      <w:r w:rsidR="007B34E0">
        <w:t>friends</w:t>
      </w:r>
      <w:r w:rsidR="007D50A4" w:rsidRPr="009B1FB1">
        <w:t xml:space="preserve">. </w:t>
      </w:r>
      <w:r>
        <w:t>Before submitting his application</w:t>
      </w:r>
      <w:r w:rsidR="0064343A">
        <w:t>, Nikolai</w:t>
      </w:r>
      <w:r w:rsidR="007D50A4" w:rsidRPr="009B1FB1">
        <w:t xml:space="preserve"> </w:t>
      </w:r>
      <w:r w:rsidR="0064343A">
        <w:t xml:space="preserve">emailed </w:t>
      </w:r>
      <w:r w:rsidR="007D50A4" w:rsidRPr="009B1FB1">
        <w:t xml:space="preserve">a legal clinic to </w:t>
      </w:r>
      <w:r w:rsidR="0064343A">
        <w:t xml:space="preserve">ask if it could simply </w:t>
      </w:r>
      <w:r>
        <w:t>review his file.</w:t>
      </w:r>
      <w:r w:rsidR="007D50A4" w:rsidRPr="009B1FB1">
        <w:t xml:space="preserve"> </w:t>
      </w:r>
      <w:r w:rsidR="0031298A">
        <w:t>The clinic</w:t>
      </w:r>
      <w:r>
        <w:t xml:space="preserve"> </w:t>
      </w:r>
      <w:r w:rsidR="0064343A">
        <w:t>swiftly</w:t>
      </w:r>
      <w:r w:rsidR="007D50A4" w:rsidRPr="009B1FB1">
        <w:t xml:space="preserve"> </w:t>
      </w:r>
      <w:r w:rsidR="007B34E0">
        <w:t>offered</w:t>
      </w:r>
      <w:r w:rsidR="007D50A4" w:rsidRPr="009B1FB1">
        <w:t xml:space="preserve"> to take on his case, pro bono. </w:t>
      </w:r>
      <w:r>
        <w:t xml:space="preserve">His new </w:t>
      </w:r>
      <w:r w:rsidR="007B34E0">
        <w:t>lawyers</w:t>
      </w:r>
      <w:r w:rsidR="0064343A">
        <w:t xml:space="preserve"> say</w:t>
      </w:r>
      <w:r>
        <w:t xml:space="preserve"> that he </w:t>
      </w:r>
      <w:r w:rsidR="007D50A4" w:rsidRPr="009B1FB1">
        <w:t xml:space="preserve">had a </w:t>
      </w:r>
      <w:r w:rsidR="007B34E0">
        <w:t>“</w:t>
      </w:r>
      <w:r w:rsidR="008F7E5E">
        <w:t>strong</w:t>
      </w:r>
      <w:r w:rsidR="007B34E0">
        <w:t>”</w:t>
      </w:r>
      <w:r w:rsidR="0064343A">
        <w:t xml:space="preserve"> case—</w:t>
      </w:r>
      <w:r>
        <w:t xml:space="preserve">but </w:t>
      </w:r>
      <w:r w:rsidR="0064343A">
        <w:t>the</w:t>
      </w:r>
      <w:r>
        <w:t xml:space="preserve"> </w:t>
      </w:r>
      <w:r w:rsidR="007D50A4" w:rsidRPr="009B1FB1">
        <w:t xml:space="preserve">personal statement </w:t>
      </w:r>
      <w:r>
        <w:t>needed work</w:t>
      </w:r>
      <w:r w:rsidR="008D0B3A">
        <w:t xml:space="preserve">. Nikolai </w:t>
      </w:r>
      <w:r w:rsidR="007B34E0">
        <w:t>explained</w:t>
      </w:r>
      <w:r w:rsidR="008D0B3A">
        <w:t>:</w:t>
      </w:r>
    </w:p>
    <w:p w14:paraId="14B952AC" w14:textId="7660C85D" w:rsidR="007D50A4" w:rsidRPr="009B1FB1" w:rsidRDefault="007B34E0" w:rsidP="00C35EDC">
      <w:pPr>
        <w:pStyle w:val="Quote"/>
      </w:pPr>
      <w:r>
        <w:t xml:space="preserve">They </w:t>
      </w:r>
      <w:r w:rsidR="007D50A4" w:rsidRPr="009B1FB1">
        <w:t xml:space="preserve">decided to rewrite my story. To put more emotions. I can’t express my emotions generally. You know, I’m a gay, but I’m a man, and I’m Russian man, of course, so it’s difficult to express your emotions. We spent like four meetings, totally eleven hours, I told my story. Everything what I remember, everything what happened to me. </w:t>
      </w:r>
      <w:r w:rsidR="008D0B3A">
        <w:t xml:space="preserve">[…] </w:t>
      </w:r>
      <w:r w:rsidR="007D50A4" w:rsidRPr="009B1FB1">
        <w:t xml:space="preserve">they said, like, </w:t>
      </w:r>
      <w:r w:rsidR="008D0B3A">
        <w:t>“</w:t>
      </w:r>
      <w:r w:rsidR="007D50A4" w:rsidRPr="009B1FB1">
        <w:t>it’s so important to put more emotions. More your feelings.</w:t>
      </w:r>
      <w:r w:rsidR="008D0B3A">
        <w:t>”</w:t>
      </w:r>
      <w:r w:rsidR="007D50A4" w:rsidRPr="009B1FB1">
        <w:t xml:space="preserve"> They had some examples, from the professional attorneys. </w:t>
      </w:r>
      <w:r w:rsidR="000F2495">
        <w:t>I</w:t>
      </w:r>
      <w:r w:rsidR="007D50A4" w:rsidRPr="009B1FB1">
        <w:t>t took like two months more</w:t>
      </w:r>
      <w:r w:rsidR="000F2495">
        <w:t xml:space="preserve"> [to </w:t>
      </w:r>
      <w:r w:rsidR="0031298A">
        <w:t>submit</w:t>
      </w:r>
      <w:r w:rsidR="000F2495">
        <w:t>]</w:t>
      </w:r>
      <w:r w:rsidR="007D50A4" w:rsidRPr="009B1FB1">
        <w:t>.</w:t>
      </w:r>
    </w:p>
    <w:p w14:paraId="24A5411D" w14:textId="239813F6" w:rsidR="007D50A4" w:rsidRPr="009B1FB1" w:rsidRDefault="00D65117" w:rsidP="000F2495">
      <w:pPr>
        <w:pStyle w:val="PoLAR"/>
      </w:pPr>
      <w:r>
        <w:t>The</w:t>
      </w:r>
      <w:r w:rsidR="00B972E5" w:rsidRPr="009B1FB1">
        <w:t xml:space="preserve"> </w:t>
      </w:r>
      <w:r w:rsidR="007A5C3D">
        <w:t xml:space="preserve">attorneys guided </w:t>
      </w:r>
      <w:r>
        <w:t>Nikolai</w:t>
      </w:r>
      <w:r w:rsidR="007A5C3D">
        <w:t xml:space="preserve"> to replace his </w:t>
      </w:r>
      <w:r w:rsidR="007B34E0">
        <w:t xml:space="preserve">self-described </w:t>
      </w:r>
      <w:r w:rsidR="007A5C3D" w:rsidRPr="009B1FB1">
        <w:t>Russian</w:t>
      </w:r>
      <w:r w:rsidR="007A5C3D">
        <w:t>,</w:t>
      </w:r>
      <w:r w:rsidR="007A5C3D" w:rsidRPr="009B1FB1">
        <w:t xml:space="preserve"> gay</w:t>
      </w:r>
      <w:r w:rsidR="007A5C3D">
        <w:t>, male subjectivity</w:t>
      </w:r>
      <w:r w:rsidR="007D50A4" w:rsidRPr="009B1FB1">
        <w:t xml:space="preserve"> </w:t>
      </w:r>
      <w:r w:rsidR="007A5C3D">
        <w:t>with a</w:t>
      </w:r>
      <w:r w:rsidR="007D50A4" w:rsidRPr="009B1FB1">
        <w:t xml:space="preserve"> script that </w:t>
      </w:r>
      <w:r w:rsidR="007A5C3D">
        <w:t>adjudicators</w:t>
      </w:r>
      <w:r w:rsidR="00B972E5" w:rsidRPr="009B1FB1">
        <w:t xml:space="preserve"> </w:t>
      </w:r>
      <w:r w:rsidR="007B34E0">
        <w:t>had</w:t>
      </w:r>
      <w:r w:rsidR="007A5C3D">
        <w:t xml:space="preserve"> </w:t>
      </w:r>
      <w:r w:rsidR="00B972E5" w:rsidRPr="009B1FB1">
        <w:t>historically accepted as “authentic”</w:t>
      </w:r>
      <w:r>
        <w:t xml:space="preserve"> </w:t>
      </w:r>
      <w:r w:rsidR="007B34E0">
        <w:t>for other claimants.</w:t>
      </w:r>
      <w:r>
        <w:t xml:space="preserve"> B</w:t>
      </w:r>
      <w:r w:rsidR="000A2F74" w:rsidRPr="009B1FB1">
        <w:t xml:space="preserve">y </w:t>
      </w:r>
      <w:r w:rsidR="007B34E0">
        <w:t>Nikolai’s</w:t>
      </w:r>
      <w:r w:rsidR="000A2F74" w:rsidRPr="009B1FB1">
        <w:t xml:space="preserve"> own assessment, </w:t>
      </w:r>
      <w:r>
        <w:t>the process was designed</w:t>
      </w:r>
      <w:r w:rsidRPr="009B1FB1">
        <w:t xml:space="preserve"> </w:t>
      </w:r>
      <w:r w:rsidR="000A2F74" w:rsidRPr="009B1FB1">
        <w:t>to feminize his subjective</w:t>
      </w:r>
      <w:r w:rsidR="0036679A">
        <w:t>,</w:t>
      </w:r>
      <w:r w:rsidR="000A2F74" w:rsidRPr="009B1FB1">
        <w:t xml:space="preserve"> (un)emotional response to persecution. </w:t>
      </w:r>
      <w:r w:rsidR="0036679A">
        <w:t>Despite having a strong case</w:t>
      </w:r>
      <w:r>
        <w:t>,</w:t>
      </w:r>
      <w:r w:rsidR="0031298A">
        <w:t xml:space="preserve"> </w:t>
      </w:r>
      <w:r>
        <w:t>Nikolai’s</w:t>
      </w:r>
      <w:r w:rsidR="0036679A">
        <w:t xml:space="preserve"> testimony was </w:t>
      </w:r>
      <w:r w:rsidR="000A2F74">
        <w:t xml:space="preserve">repackaged </w:t>
      </w:r>
      <w:r>
        <w:t>so</w:t>
      </w:r>
      <w:r w:rsidR="000A2F74">
        <w:t xml:space="preserve"> that it </w:t>
      </w:r>
      <w:r w:rsidR="007A5C3D">
        <w:t>reaffirm</w:t>
      </w:r>
      <w:r w:rsidR="000A2F74">
        <w:t>ed</w:t>
      </w:r>
      <w:r w:rsidR="007A5C3D">
        <w:t xml:space="preserve"> </w:t>
      </w:r>
      <w:r w:rsidR="000A2F74">
        <w:lastRenderedPageBreak/>
        <w:t>adjudicators’—and</w:t>
      </w:r>
      <w:r w:rsidR="0036679A">
        <w:t>, notably,</w:t>
      </w:r>
      <w:r w:rsidR="000A2F74">
        <w:t xml:space="preserve"> his attorneys’—</w:t>
      </w:r>
      <w:r w:rsidR="0036679A">
        <w:t>preexisting ideas about</w:t>
      </w:r>
      <w:r w:rsidR="007A5C3D">
        <w:t xml:space="preserve"> </w:t>
      </w:r>
      <w:r w:rsidR="0036679A">
        <w:t>“</w:t>
      </w:r>
      <w:r w:rsidR="000A2F74">
        <w:t>credible</w:t>
      </w:r>
      <w:r w:rsidR="0036679A">
        <w:t>”</w:t>
      </w:r>
      <w:r w:rsidR="000A2F74">
        <w:t xml:space="preserve"> </w:t>
      </w:r>
      <w:r w:rsidR="007A5C3D">
        <w:t>LGBT asylum seekers.</w:t>
      </w:r>
    </w:p>
    <w:p w14:paraId="1D0C132A" w14:textId="03FE00B1" w:rsidR="00722839" w:rsidRDefault="00F12EAC" w:rsidP="001B3E0D">
      <w:pPr>
        <w:pStyle w:val="PoLAR"/>
      </w:pPr>
      <w:r>
        <w:t>Such practices obscure that there</w:t>
      </w:r>
      <w:r w:rsidR="00D65117">
        <w:t xml:space="preserve"> </w:t>
      </w:r>
      <w:r w:rsidR="007D50A4" w:rsidRPr="009B1FB1">
        <w:t xml:space="preserve">are countless </w:t>
      </w:r>
      <w:r w:rsidR="00D65117">
        <w:t xml:space="preserve">different ways of being sexual, </w:t>
      </w:r>
      <w:r w:rsidR="007D50A4" w:rsidRPr="009B1FB1">
        <w:t>and</w:t>
      </w:r>
      <w:r w:rsidR="00D65117">
        <w:t xml:space="preserve"> </w:t>
      </w:r>
      <w:r>
        <w:t xml:space="preserve">that </w:t>
      </w:r>
      <w:r w:rsidR="007D50A4" w:rsidRPr="009B1FB1">
        <w:t xml:space="preserve">people have countless different </w:t>
      </w:r>
      <w:r>
        <w:t xml:space="preserve">ways of, and </w:t>
      </w:r>
      <w:r w:rsidR="00D65117">
        <w:t>reasons</w:t>
      </w:r>
      <w:r w:rsidR="007D50A4" w:rsidRPr="009B1FB1">
        <w:t xml:space="preserve"> </w:t>
      </w:r>
      <w:r w:rsidR="00D65117">
        <w:t>for naming</w:t>
      </w:r>
      <w:r>
        <w:t xml:space="preserve"> themselves as</w:t>
      </w:r>
      <w:r w:rsidR="00D65117">
        <w:t xml:space="preserve"> </w:t>
      </w:r>
      <w:r>
        <w:t>belonging</w:t>
      </w:r>
      <w:r w:rsidR="00D65117">
        <w:t>—or not—</w:t>
      </w:r>
      <w:r>
        <w:t>to</w:t>
      </w:r>
      <w:r w:rsidR="00D65117">
        <w:t xml:space="preserve"> a particular </w:t>
      </w:r>
      <w:r w:rsidR="007031BC" w:rsidRPr="009B1FB1">
        <w:t>sexual identity</w:t>
      </w:r>
      <w:r w:rsidR="00D65117">
        <w:t xml:space="preserve"> category</w:t>
      </w:r>
      <w:r w:rsidR="0036679A">
        <w:t xml:space="preserve"> </w:t>
      </w:r>
      <w:r w:rsidR="00CD6142" w:rsidRPr="00CD6142">
        <w:t>(Sedgwick 1990, 25).</w:t>
      </w:r>
      <w:r w:rsidR="0036679A">
        <w:t xml:space="preserve"> LGBT asylum seekers are no different. </w:t>
      </w:r>
      <w:r w:rsidR="007D50A4" w:rsidRPr="009B1FB1">
        <w:t xml:space="preserve">A person who is not read as </w:t>
      </w:r>
      <w:r w:rsidR="00D45D97">
        <w:t>“</w:t>
      </w:r>
      <w:r w:rsidR="007D50A4" w:rsidRPr="009B1FB1">
        <w:t>credibly</w:t>
      </w:r>
      <w:r w:rsidR="00D45D97">
        <w:t>” gay</w:t>
      </w:r>
      <w:r w:rsidR="007D50A4" w:rsidRPr="009B1FB1">
        <w:t xml:space="preserve"> in the United States may well h</w:t>
      </w:r>
      <w:r w:rsidR="00D45D97">
        <w:t>ave been read as such elsewhere</w:t>
      </w:r>
      <w:r>
        <w:t xml:space="preserve"> </w:t>
      </w:r>
      <w:r w:rsidR="007D50A4" w:rsidRPr="009B1FB1">
        <w:t xml:space="preserve">and </w:t>
      </w:r>
      <w:r w:rsidR="00B972E5" w:rsidRPr="009B1FB1">
        <w:t>suffer</w:t>
      </w:r>
      <w:r w:rsidR="0036679A">
        <w:t>ed</w:t>
      </w:r>
      <w:r w:rsidR="007D50A4" w:rsidRPr="009B1FB1">
        <w:t xml:space="preserve"> </w:t>
      </w:r>
      <w:r w:rsidR="00B972E5" w:rsidRPr="009B1FB1">
        <w:t>violent reprisals</w:t>
      </w:r>
      <w:r>
        <w:t xml:space="preserve"> as a result: globally,</w:t>
      </w:r>
      <w:r w:rsidR="00BD63CB">
        <w:t xml:space="preserve"> </w:t>
      </w:r>
      <w:r w:rsidR="007D50A4" w:rsidRPr="009B1FB1">
        <w:t>LGBT (and non</w:t>
      </w:r>
      <w:proofErr w:type="gramStart"/>
      <w:r w:rsidR="007D50A4" w:rsidRPr="009B1FB1">
        <w:t>-</w:t>
      </w:r>
      <w:r>
        <w:t>“</w:t>
      </w:r>
      <w:proofErr w:type="gramEnd"/>
      <w:r w:rsidR="007D50A4" w:rsidRPr="009B1FB1">
        <w:t>LGBT</w:t>
      </w:r>
      <w:r>
        <w:t>”</w:t>
      </w:r>
      <w:r w:rsidR="007D50A4" w:rsidRPr="009B1FB1">
        <w:t>) people are</w:t>
      </w:r>
      <w:r>
        <w:t xml:space="preserve"> </w:t>
      </w:r>
      <w:r w:rsidR="007D50A4" w:rsidRPr="009B1FB1">
        <w:t xml:space="preserve">persecuted </w:t>
      </w:r>
      <w:r>
        <w:t>not only</w:t>
      </w:r>
      <w:r w:rsidRPr="009B1FB1">
        <w:t xml:space="preserve"> </w:t>
      </w:r>
      <w:r w:rsidR="00BD63CB">
        <w:t>because of</w:t>
      </w:r>
      <w:r w:rsidR="007D50A4" w:rsidRPr="009B1FB1">
        <w:t xml:space="preserve"> their </w:t>
      </w:r>
      <w:r w:rsidRPr="009B1FB1">
        <w:t>feelings or identities</w:t>
      </w:r>
      <w:r>
        <w:t>, but also because of their</w:t>
      </w:r>
      <w:r w:rsidRPr="009B1FB1">
        <w:t xml:space="preserve"> </w:t>
      </w:r>
      <w:r w:rsidR="00BD63CB" w:rsidRPr="009B1FB1">
        <w:t>sexual activitie</w:t>
      </w:r>
      <w:r w:rsidR="00BD63CB">
        <w:t>s</w:t>
      </w:r>
      <w:r w:rsidR="00D154E1">
        <w:t>—</w:t>
      </w:r>
      <w:r w:rsidR="00BD63CB">
        <w:t xml:space="preserve">for </w:t>
      </w:r>
      <w:r w:rsidR="00D154E1" w:rsidRPr="009B1FB1">
        <w:t xml:space="preserve">what they </w:t>
      </w:r>
      <w:r w:rsidR="00D154E1" w:rsidRPr="00D154E1">
        <w:t>do</w:t>
      </w:r>
      <w:r w:rsidR="00BD63CB">
        <w:t xml:space="preserve"> as well as</w:t>
      </w:r>
      <w:r>
        <w:t>,</w:t>
      </w:r>
      <w:r w:rsidR="00BD63CB">
        <w:t xml:space="preserve"> or </w:t>
      </w:r>
      <w:r w:rsidR="00D154E1" w:rsidRPr="009B1FB1">
        <w:t>in spite of</w:t>
      </w:r>
      <w:r>
        <w:t>,</w:t>
      </w:r>
      <w:r w:rsidR="00D154E1" w:rsidRPr="009B1FB1">
        <w:t xml:space="preserve"> who they “are”.</w:t>
      </w:r>
      <w:r w:rsidR="007D50A4" w:rsidRPr="009B1FB1">
        <w:t xml:space="preserve"> </w:t>
      </w:r>
    </w:p>
    <w:p w14:paraId="716F236C" w14:textId="79B63D40" w:rsidR="007D50A4" w:rsidRDefault="00AE1E4E" w:rsidP="00722839">
      <w:pPr>
        <w:pStyle w:val="PoLAR"/>
      </w:pPr>
      <w:r>
        <w:t xml:space="preserve">Applications for asylum submitted by, or on behalf of LGBT claimants </w:t>
      </w:r>
      <w:r w:rsidR="00F75C1A">
        <w:t>frequently cite</w:t>
      </w:r>
      <w:r w:rsidR="00F75C1A" w:rsidRPr="009B1FB1">
        <w:t xml:space="preserve"> evidence of homophobic persecution</w:t>
      </w:r>
      <w:r w:rsidR="00F75C1A">
        <w:t xml:space="preserve"> in a </w:t>
      </w:r>
      <w:r>
        <w:t xml:space="preserve">particular </w:t>
      </w:r>
      <w:r w:rsidR="00F75C1A">
        <w:t>country context.</w:t>
      </w:r>
      <w:r>
        <w:t xml:space="preserve"> D</w:t>
      </w:r>
      <w:r w:rsidR="00160F3B">
        <w:t>espite probably</w:t>
      </w:r>
      <w:r w:rsidR="00F75C1A">
        <w:t xml:space="preserve"> referencing laws</w:t>
      </w:r>
      <w:r w:rsidR="00BD63CB">
        <w:t xml:space="preserve"> in their case files, both Nikolai’s attorneys—privately, to their client—and </w:t>
      </w:r>
      <w:r w:rsidR="00F75C1A">
        <w:t xml:space="preserve">RIC staff attorney </w:t>
      </w:r>
      <w:r w:rsidR="00BD63CB" w:rsidRPr="009B1FB1">
        <w:t>Mr. Ho</w:t>
      </w:r>
      <w:r w:rsidR="00BD63CB">
        <w:t>—in his public advocacy role—</w:t>
      </w:r>
      <w:r>
        <w:t xml:space="preserve">assertively </w:t>
      </w:r>
      <w:r w:rsidR="00BD63CB" w:rsidRPr="009B1FB1">
        <w:t>di</w:t>
      </w:r>
      <w:r w:rsidR="00BD63CB">
        <w:t>stinguished</w:t>
      </w:r>
      <w:r w:rsidR="00BD63CB" w:rsidRPr="009B1FB1">
        <w:t xml:space="preserve"> between acts and feelings when </w:t>
      </w:r>
      <w:r w:rsidR="00BD63CB">
        <w:t>assessing the credibility of claims</w:t>
      </w:r>
      <w:r w:rsidR="00BD63CB" w:rsidRPr="009B1FB1">
        <w:t>.</w:t>
      </w:r>
      <w:r w:rsidR="00F75C1A">
        <w:t xml:space="preserve"> </w:t>
      </w:r>
      <w:r>
        <w:t xml:space="preserve">Yet, following </w:t>
      </w:r>
      <w:r w:rsidRPr="009B1FB1">
        <w:rPr>
          <w:i/>
        </w:rPr>
        <w:t>Amanfi v. Ashcroft</w:t>
      </w:r>
      <w:r>
        <w:t>, persecution on the basis of</w:t>
      </w:r>
      <w:r w:rsidRPr="009B1FB1">
        <w:t xml:space="preserve"> perceived, or “imputed</w:t>
      </w:r>
      <w:r>
        <w:t>,</w:t>
      </w:r>
      <w:r w:rsidRPr="009B1FB1">
        <w:t xml:space="preserve">” </w:t>
      </w:r>
      <w:r>
        <w:t xml:space="preserve">homosexuality can </w:t>
      </w:r>
      <w:r w:rsidRPr="009B1FB1">
        <w:t xml:space="preserve">provide </w:t>
      </w:r>
      <w:r>
        <w:t xml:space="preserve">grounds enough for asylum, </w:t>
      </w:r>
      <w:r w:rsidRPr="009B1FB1">
        <w:t>regardless</w:t>
      </w:r>
      <w:r>
        <w:t xml:space="preserve"> </w:t>
      </w:r>
      <w:r w:rsidRPr="009B1FB1">
        <w:t xml:space="preserve">of how </w:t>
      </w:r>
      <w:r>
        <w:t>the claimant self-identifies</w:t>
      </w:r>
      <w:r w:rsidRPr="009B1FB1">
        <w:t xml:space="preserve">. </w:t>
      </w:r>
      <w:r>
        <w:t xml:space="preserve">Within the constraints of the law, </w:t>
      </w:r>
      <w:r>
        <w:lastRenderedPageBreak/>
        <w:t xml:space="preserve">then, avenues to asylum should remain open to claimants who identify as bisexual, for example, or as any other </w:t>
      </w:r>
      <w:r w:rsidRPr="009B1FB1">
        <w:t xml:space="preserve">same-sex desiring </w:t>
      </w:r>
      <w:r w:rsidR="00722839">
        <w:t>identity that is not encapsulated by “LGBT.”</w:t>
      </w:r>
      <w:r w:rsidR="00722839">
        <w:t xml:space="preserve"> Mr. Ho’s words</w:t>
      </w:r>
      <w:r w:rsidR="00F75C1A">
        <w:t xml:space="preserve"> </w:t>
      </w:r>
      <w:r w:rsidR="00FB01A4">
        <w:t xml:space="preserve">foreclose </w:t>
      </w:r>
      <w:r w:rsidR="00722839">
        <w:t>that</w:t>
      </w:r>
      <w:r w:rsidR="00FB01A4">
        <w:t xml:space="preserve"> possibility</w:t>
      </w:r>
      <w:r w:rsidR="00F75C1A">
        <w:t>.</w:t>
      </w:r>
    </w:p>
    <w:p w14:paraId="3395A639" w14:textId="25287F54" w:rsidR="001A24E9" w:rsidRPr="008F7E5E" w:rsidRDefault="0094417B" w:rsidP="001A24E9">
      <w:pPr>
        <w:pStyle w:val="PoLAR"/>
      </w:pPr>
      <w:r w:rsidRPr="00722839">
        <w:t>I</w:t>
      </w:r>
      <w:r w:rsidR="00CC4556" w:rsidRPr="00722839">
        <w:t xml:space="preserve">n </w:t>
      </w:r>
      <w:r w:rsidR="00722839" w:rsidRPr="00722839">
        <w:t>Greece</w:t>
      </w:r>
      <w:r w:rsidR="003C676F" w:rsidRPr="00722839">
        <w:t xml:space="preserve">, </w:t>
      </w:r>
      <w:r w:rsidR="00722839">
        <w:t xml:space="preserve">NGO-based </w:t>
      </w:r>
      <w:r w:rsidR="001A24E9" w:rsidRPr="00722839">
        <w:t>lawyers</w:t>
      </w:r>
      <w:r w:rsidR="003C676F" w:rsidRPr="00722839">
        <w:t xml:space="preserve"> recognized</w:t>
      </w:r>
      <w:r w:rsidR="001A24E9" w:rsidRPr="00722839">
        <w:t xml:space="preserve"> that their </w:t>
      </w:r>
      <w:r w:rsidR="003C676F" w:rsidRPr="00722839">
        <w:t xml:space="preserve">decisions regarding potential </w:t>
      </w:r>
      <w:r w:rsidR="00722839">
        <w:t>asylum seekers</w:t>
      </w:r>
      <w:r w:rsidR="003C676F" w:rsidRPr="00722839">
        <w:t>’ eligibility for services</w:t>
      </w:r>
      <w:r w:rsidR="001A24E9" w:rsidRPr="00722839">
        <w:t xml:space="preserve"> did “exactly the same” work as </w:t>
      </w:r>
      <w:r w:rsidR="00722839">
        <w:t xml:space="preserve">the </w:t>
      </w:r>
      <w:r w:rsidR="00166B94" w:rsidRPr="00722839">
        <w:t>S</w:t>
      </w:r>
      <w:r w:rsidR="001A24E9" w:rsidRPr="00722839">
        <w:t>tate (</w:t>
      </w:r>
      <w:r w:rsidR="00446AD5" w:rsidRPr="00722839">
        <w:t xml:space="preserve">Cabot </w:t>
      </w:r>
      <w:r w:rsidR="00CC4556" w:rsidRPr="00722839">
        <w:t>2014,</w:t>
      </w:r>
      <w:r w:rsidR="001A24E9" w:rsidRPr="00722839">
        <w:t xml:space="preserve"> </w:t>
      </w:r>
      <w:r w:rsidR="008F7E5E" w:rsidRPr="00722839">
        <w:t>98</w:t>
      </w:r>
      <w:r w:rsidR="00722839">
        <w:t>). Mr. Ho, in contrast,</w:t>
      </w:r>
      <w:r w:rsidR="001A24E9" w:rsidRPr="00722839">
        <w:t xml:space="preserve"> assertively differentiated his own ideas about “credible” LGBT subjectivity </w:t>
      </w:r>
      <w:r w:rsidR="00722839">
        <w:t xml:space="preserve">from those of government officials, </w:t>
      </w:r>
      <w:r w:rsidR="001A24E9" w:rsidRPr="00722839">
        <w:t>which</w:t>
      </w:r>
      <w:r w:rsidR="008F7E5E" w:rsidRPr="00722839">
        <w:t xml:space="preserve"> </w:t>
      </w:r>
      <w:r w:rsidR="001A24E9" w:rsidRPr="00722839">
        <w:t xml:space="preserve">he </w:t>
      </w:r>
      <w:r w:rsidR="00722839">
        <w:t>further</w:t>
      </w:r>
      <w:r w:rsidR="008F7E5E" w:rsidRPr="00722839">
        <w:t xml:space="preserve"> </w:t>
      </w:r>
      <w:r w:rsidR="001A24E9" w:rsidRPr="00722839">
        <w:t xml:space="preserve">identified as </w:t>
      </w:r>
      <w:r w:rsidR="008F7E5E" w:rsidRPr="00722839">
        <w:t>problematic and in need of reform</w:t>
      </w:r>
      <w:r w:rsidR="001A24E9" w:rsidRPr="00722839">
        <w:t xml:space="preserve">. </w:t>
      </w:r>
      <w:r w:rsidR="008F7E5E" w:rsidRPr="00722839">
        <w:t xml:space="preserve">Nikolai’s attorneys, </w:t>
      </w:r>
      <w:r w:rsidR="00854E19" w:rsidRPr="00722839">
        <w:t>despite</w:t>
      </w:r>
      <w:r w:rsidR="008F7E5E" w:rsidRPr="00722839">
        <w:t xml:space="preserve"> recognizing </w:t>
      </w:r>
      <w:r w:rsidR="00854E19" w:rsidRPr="00722839">
        <w:t xml:space="preserve">his </w:t>
      </w:r>
      <w:r w:rsidR="008F7E5E" w:rsidRPr="00722839">
        <w:t xml:space="preserve">as a </w:t>
      </w:r>
      <w:r w:rsidR="00722839">
        <w:t xml:space="preserve">sufficiently documented, </w:t>
      </w:r>
      <w:r w:rsidR="008F7E5E" w:rsidRPr="00722839">
        <w:t xml:space="preserve">“strong” case, </w:t>
      </w:r>
      <w:r w:rsidR="00722839">
        <w:t xml:space="preserve">reframed </w:t>
      </w:r>
      <w:r w:rsidR="00854E19" w:rsidRPr="00722839">
        <w:t xml:space="preserve">his character in keeping with their </w:t>
      </w:r>
      <w:r w:rsidR="00446AD5" w:rsidRPr="00722839">
        <w:t xml:space="preserve">own </w:t>
      </w:r>
      <w:r w:rsidR="00854E19" w:rsidRPr="00722839">
        <w:t>ideas about credible subjects.</w:t>
      </w:r>
      <w:r w:rsidR="00E663B8" w:rsidRPr="00722839">
        <w:t xml:space="preserve"> These actions </w:t>
      </w:r>
      <w:r w:rsidR="00722839">
        <w:t>were</w:t>
      </w:r>
      <w:r w:rsidR="00160F3B">
        <w:t xml:space="preserve"> not born</w:t>
      </w:r>
      <w:r w:rsidR="00E663B8" w:rsidRPr="00722839">
        <w:t xml:space="preserve"> of cynicism, </w:t>
      </w:r>
      <w:r w:rsidR="00722839">
        <w:t xml:space="preserve">nor of attempts </w:t>
      </w:r>
      <w:r w:rsidR="00446AD5" w:rsidRPr="00722839">
        <w:t xml:space="preserve">to adhere to governmental directives. They </w:t>
      </w:r>
      <w:r w:rsidR="00722839">
        <w:t>were</w:t>
      </w:r>
      <w:r w:rsidR="00446AD5" w:rsidRPr="00722839">
        <w:t xml:space="preserve"> rather </w:t>
      </w:r>
      <w:r w:rsidR="00722839">
        <w:t>the result</w:t>
      </w:r>
      <w:r w:rsidR="00446AD5" w:rsidRPr="00722839">
        <w:t xml:space="preserve"> of</w:t>
      </w:r>
      <w:r w:rsidR="00E663B8" w:rsidRPr="00722839">
        <w:t xml:space="preserve"> </w:t>
      </w:r>
      <w:r w:rsidR="00722839">
        <w:t xml:space="preserve">deep </w:t>
      </w:r>
      <w:r w:rsidR="00E663B8" w:rsidRPr="00722839">
        <w:t xml:space="preserve">investments in prevailing narratives about LGBT </w:t>
      </w:r>
      <w:r w:rsidR="00722839">
        <w:t>people</w:t>
      </w:r>
      <w:r w:rsidR="00446AD5" w:rsidRPr="00722839">
        <w:t xml:space="preserve"> and about </w:t>
      </w:r>
      <w:r w:rsidR="00722839">
        <w:t>“sympathetic” asylum seekers</w:t>
      </w:r>
      <w:r w:rsidR="00E663B8" w:rsidRPr="00722839">
        <w:t>.</w:t>
      </w:r>
    </w:p>
    <w:p w14:paraId="03E6493E" w14:textId="487FB1C1" w:rsidR="007D50A4" w:rsidRPr="009B1FB1" w:rsidRDefault="00854E19" w:rsidP="001B3E0D">
      <w:pPr>
        <w:pStyle w:val="PoLAR"/>
      </w:pPr>
      <w:r>
        <w:t xml:space="preserve">Over the course of my fieldwork, I found that pro bono attorneys who </w:t>
      </w:r>
      <w:r w:rsidR="00082055">
        <w:t>represented</w:t>
      </w:r>
      <w:r>
        <w:t xml:space="preserve"> </w:t>
      </w:r>
      <w:r w:rsidR="00082055">
        <w:t>a broad range of clients</w:t>
      </w:r>
      <w:r>
        <w:t xml:space="preserve"> were less </w:t>
      </w:r>
      <w:r w:rsidR="00082055">
        <w:t>concerned with LGBT “credibility”</w:t>
      </w:r>
      <w:r>
        <w:t xml:space="preserve"> </w:t>
      </w:r>
      <w:r w:rsidR="00082055">
        <w:t>than their specialist counterparts</w:t>
      </w:r>
      <w:r>
        <w:t xml:space="preserve">. </w:t>
      </w:r>
      <w:r w:rsidR="003A7998">
        <w:t xml:space="preserve">For example, </w:t>
      </w:r>
      <w:r w:rsidR="002A17A0" w:rsidRPr="009B1FB1">
        <w:t>Erica</w:t>
      </w:r>
      <w:r w:rsidR="003C2B15" w:rsidRPr="009B1FB1">
        <w:t xml:space="preserve"> Jenkins</w:t>
      </w:r>
      <w:r w:rsidR="002A17A0" w:rsidRPr="009B1FB1">
        <w:t xml:space="preserve">, </w:t>
      </w:r>
      <w:r w:rsidR="007E3229">
        <w:t>a senior attorney at</w:t>
      </w:r>
      <w:r w:rsidR="007D50A4" w:rsidRPr="009B1FB1">
        <w:t xml:space="preserve"> </w:t>
      </w:r>
      <w:r w:rsidR="007E3229" w:rsidRPr="009B1FB1">
        <w:t>New England Immigration Services (NEIS)</w:t>
      </w:r>
      <w:r w:rsidR="007E3229">
        <w:t xml:space="preserve">, a </w:t>
      </w:r>
      <w:r w:rsidR="00082055">
        <w:t xml:space="preserve">pro bono organization that </w:t>
      </w:r>
      <w:r w:rsidR="003A7998">
        <w:t>worked with a variety of</w:t>
      </w:r>
      <w:r w:rsidR="00082055">
        <w:t xml:space="preserve"> </w:t>
      </w:r>
      <w:r w:rsidR="003A7998">
        <w:t>clients</w:t>
      </w:r>
      <w:r>
        <w:t xml:space="preserve">, </w:t>
      </w:r>
      <w:r w:rsidR="007D50A4" w:rsidRPr="009B1FB1">
        <w:t>explained</w:t>
      </w:r>
      <w:r w:rsidR="00082055">
        <w:t xml:space="preserve"> her approach to </w:t>
      </w:r>
      <w:r w:rsidR="003A7998">
        <w:t>LGBT asylum cases</w:t>
      </w:r>
      <w:r w:rsidR="007D50A4" w:rsidRPr="009B1FB1">
        <w:t xml:space="preserve">: </w:t>
      </w:r>
    </w:p>
    <w:p w14:paraId="7799BCCA" w14:textId="7CC71C28" w:rsidR="007D50A4" w:rsidRPr="009B1FB1" w:rsidRDefault="003A7998" w:rsidP="00C35EDC">
      <w:pPr>
        <w:pStyle w:val="Quote"/>
      </w:pPr>
      <w:r>
        <w:lastRenderedPageBreak/>
        <w:t>[G]</w:t>
      </w:r>
      <w:r w:rsidR="007D50A4" w:rsidRPr="009B1FB1">
        <w:t>ood lawyers</w:t>
      </w:r>
      <w:r>
        <w:t xml:space="preserve">… </w:t>
      </w:r>
      <w:r w:rsidR="007D50A4" w:rsidRPr="009B1FB1">
        <w:t>would make the argument based on sexual orientation but also make any other collaborative claims</w:t>
      </w:r>
      <w:r w:rsidR="002A17A0" w:rsidRPr="009B1FB1">
        <w:t>,</w:t>
      </w:r>
      <w:r w:rsidR="007D50A4" w:rsidRPr="009B1FB1">
        <w:t xml:space="preserve"> </w:t>
      </w:r>
      <w:r>
        <w:t xml:space="preserve">[because] </w:t>
      </w:r>
      <w:r w:rsidR="007D50A4" w:rsidRPr="009B1FB1">
        <w:t xml:space="preserve">maybe it’s sometimes easier for a Judge to find that </w:t>
      </w:r>
      <w:r w:rsidR="00E663B8">
        <w:t>[the claimant]</w:t>
      </w:r>
      <w:r w:rsidR="007D50A4" w:rsidRPr="009B1FB1">
        <w:t xml:space="preserve"> would face</w:t>
      </w:r>
      <w:r w:rsidR="00EE1D60">
        <w:t xml:space="preserve"> persecution on another basis. </w:t>
      </w:r>
      <w:r w:rsidR="007D50A4" w:rsidRPr="009B1FB1">
        <w:t>It’s a harder case—it’s not an impossible case but it is a more challenging case to kind</w:t>
      </w:r>
      <w:r w:rsidR="00B72580">
        <w:t xml:space="preserve"> of explain all these pieces.</w:t>
      </w:r>
      <w:r w:rsidR="007D50A4" w:rsidRPr="009B1FB1">
        <w:t xml:space="preserve"> </w:t>
      </w:r>
    </w:p>
    <w:p w14:paraId="1D942394" w14:textId="49C086DE" w:rsidR="007E3229" w:rsidRDefault="007D50A4" w:rsidP="007A5C3D">
      <w:pPr>
        <w:pStyle w:val="PoLAR"/>
      </w:pPr>
      <w:r w:rsidRPr="009B1FB1">
        <w:t>Erica</w:t>
      </w:r>
      <w:r w:rsidR="007E3229">
        <w:t xml:space="preserve"> emphasized that</w:t>
      </w:r>
      <w:r w:rsidRPr="009B1FB1">
        <w:t xml:space="preserve"> </w:t>
      </w:r>
      <w:r w:rsidR="007E3229">
        <w:t>she and her colleagues were “</w:t>
      </w:r>
      <w:r w:rsidRPr="009B1FB1">
        <w:t>ideally</w:t>
      </w:r>
      <w:r w:rsidR="007E3229">
        <w:t>”</w:t>
      </w:r>
      <w:r w:rsidR="002A17A0" w:rsidRPr="009B1FB1">
        <w:t xml:space="preserve"> </w:t>
      </w:r>
      <w:r w:rsidRPr="009B1FB1">
        <w:t xml:space="preserve">meant to present each case on </w:t>
      </w:r>
      <w:r w:rsidR="007E3229">
        <w:t xml:space="preserve">its </w:t>
      </w:r>
      <w:r w:rsidRPr="009B1FB1">
        <w:t xml:space="preserve">individual </w:t>
      </w:r>
      <w:r w:rsidR="007E3229">
        <w:t>merits</w:t>
      </w:r>
      <w:r w:rsidRPr="009B1FB1">
        <w:t xml:space="preserve">, rather than follow a </w:t>
      </w:r>
      <w:r w:rsidR="007E3229">
        <w:t>generalized</w:t>
      </w:r>
      <w:r w:rsidRPr="009B1FB1">
        <w:t xml:space="preserve"> script. </w:t>
      </w:r>
      <w:r w:rsidR="007E3229">
        <w:t xml:space="preserve">Recalling specific </w:t>
      </w:r>
      <w:r w:rsidR="00497E6A">
        <w:t>applicants</w:t>
      </w:r>
      <w:r w:rsidR="007E3229">
        <w:t xml:space="preserve">, </w:t>
      </w:r>
      <w:r w:rsidR="002A17A0" w:rsidRPr="009B1FB1">
        <w:t xml:space="preserve">Erica </w:t>
      </w:r>
      <w:r w:rsidR="007E3229">
        <w:t xml:space="preserve">further explained how </w:t>
      </w:r>
      <w:r w:rsidR="002A17A0" w:rsidRPr="009B1FB1">
        <w:t>factors</w:t>
      </w:r>
      <w:r w:rsidR="00497E6A">
        <w:t xml:space="preserve"> including </w:t>
      </w:r>
      <w:r w:rsidR="007E3229">
        <w:t>imputed identity, engaging in LGBT rights advocacy</w:t>
      </w:r>
      <w:r w:rsidR="00E663B8">
        <w:t>,</w:t>
      </w:r>
      <w:r w:rsidR="007E3229">
        <w:t xml:space="preserve"> or in </w:t>
      </w:r>
      <w:r w:rsidR="00E663B8">
        <w:t xml:space="preserve">partaking in </w:t>
      </w:r>
      <w:r w:rsidR="007E3229">
        <w:t xml:space="preserve">activities that were banned on </w:t>
      </w:r>
      <w:r w:rsidR="002A17A0" w:rsidRPr="009B1FB1">
        <w:t>religious grounds</w:t>
      </w:r>
      <w:r w:rsidR="00497E6A">
        <w:t xml:space="preserve"> </w:t>
      </w:r>
      <w:r w:rsidR="00E663B8">
        <w:t>c</w:t>
      </w:r>
      <w:r w:rsidR="007E3229">
        <w:t>ould</w:t>
      </w:r>
      <w:r w:rsidR="00E663B8">
        <w:t xml:space="preserve"> </w:t>
      </w:r>
      <w:r w:rsidR="003D307B" w:rsidRPr="009B1FB1">
        <w:t>strengthen a claim</w:t>
      </w:r>
      <w:r w:rsidR="007E3229">
        <w:t xml:space="preserve"> such that adjudication would not hinge on whether a </w:t>
      </w:r>
      <w:r w:rsidR="00E663B8">
        <w:t>claimant</w:t>
      </w:r>
      <w:r w:rsidR="007E3229">
        <w:t xml:space="preserve"> appeared to be “really gay”</w:t>
      </w:r>
      <w:r w:rsidR="003D307B" w:rsidRPr="009B1FB1">
        <w:t xml:space="preserve">. </w:t>
      </w:r>
      <w:r w:rsidR="00133179">
        <w:t>Erica</w:t>
      </w:r>
      <w:r w:rsidR="002A17A0" w:rsidRPr="009B1FB1">
        <w:t xml:space="preserve"> </w:t>
      </w:r>
      <w:r w:rsidR="003D307B" w:rsidRPr="009B1FB1">
        <w:t>conceded</w:t>
      </w:r>
      <w:r w:rsidR="002A17A0" w:rsidRPr="009B1FB1">
        <w:t xml:space="preserve"> that </w:t>
      </w:r>
      <w:r w:rsidRPr="009B1FB1">
        <w:t xml:space="preserve">funding cuts and a subsequent lack of training and resources meant that NEIS </w:t>
      </w:r>
      <w:r w:rsidR="007E3229">
        <w:t xml:space="preserve">lawyers </w:t>
      </w:r>
      <w:r w:rsidR="00160F3B">
        <w:t xml:space="preserve">struggled </w:t>
      </w:r>
      <w:r w:rsidR="00133179">
        <w:t>always</w:t>
      </w:r>
      <w:r w:rsidR="00160F3B">
        <w:t xml:space="preserve"> to</w:t>
      </w:r>
      <w:r w:rsidR="00133179">
        <w:t xml:space="preserve"> </w:t>
      </w:r>
      <w:r w:rsidR="007E3229">
        <w:t>adopt this</w:t>
      </w:r>
      <w:r w:rsidR="003D307B" w:rsidRPr="009B1FB1">
        <w:t xml:space="preserve"> ideal approach—</w:t>
      </w:r>
      <w:r w:rsidR="007E3229">
        <w:t xml:space="preserve">and that </w:t>
      </w:r>
      <w:r w:rsidR="003D307B" w:rsidRPr="009B1FB1">
        <w:t xml:space="preserve">NEIS </w:t>
      </w:r>
      <w:r w:rsidRPr="009B1FB1">
        <w:t xml:space="preserve">also primarily took on </w:t>
      </w:r>
      <w:r w:rsidR="00E663B8">
        <w:t>“winnable</w:t>
      </w:r>
      <w:r w:rsidR="00E663B8" w:rsidRPr="009B1FB1">
        <w:t>”</w:t>
      </w:r>
      <w:r w:rsidR="00E663B8">
        <w:t xml:space="preserve"> </w:t>
      </w:r>
      <w:r w:rsidRPr="009B1FB1">
        <w:t>cases</w:t>
      </w:r>
      <w:r w:rsidR="00E663B8">
        <w:t>,</w:t>
      </w:r>
      <w:r w:rsidRPr="009B1FB1">
        <w:t xml:space="preserve"> </w:t>
      </w:r>
      <w:r w:rsidR="007E3229">
        <w:t xml:space="preserve">particularly </w:t>
      </w:r>
      <w:r w:rsidR="00933796">
        <w:t>when</w:t>
      </w:r>
      <w:r w:rsidR="003D307B" w:rsidRPr="009B1FB1">
        <w:t xml:space="preserve"> </w:t>
      </w:r>
      <w:r w:rsidRPr="009B1FB1">
        <w:t xml:space="preserve">the organization was </w:t>
      </w:r>
      <w:r w:rsidR="007E3229">
        <w:t>“</w:t>
      </w:r>
      <w:r w:rsidRPr="009B1FB1">
        <w:t>overstretched.</w:t>
      </w:r>
      <w:r w:rsidR="007E3229">
        <w:t>”</w:t>
      </w:r>
      <w:r w:rsidRPr="009B1FB1">
        <w:t xml:space="preserve"> </w:t>
      </w:r>
      <w:r w:rsidR="00133179">
        <w:t>She concluded, nonetheless: “</w:t>
      </w:r>
      <w:r w:rsidR="00133179" w:rsidRPr="009B1FB1">
        <w:t xml:space="preserve">I would argue that you still have the obligation to present all of those </w:t>
      </w:r>
      <w:r w:rsidR="00133179">
        <w:t>aspects of a claim</w:t>
      </w:r>
      <w:r w:rsidR="00133179" w:rsidRPr="009B1FB1">
        <w:t>.</w:t>
      </w:r>
      <w:r w:rsidR="00133179">
        <w:t>”</w:t>
      </w:r>
    </w:p>
    <w:p w14:paraId="5FEC9674" w14:textId="08C2D4B2" w:rsidR="007D50A4" w:rsidRPr="009B1FB1" w:rsidRDefault="00BD42EE" w:rsidP="007A5C3D">
      <w:pPr>
        <w:pStyle w:val="PoLAR"/>
      </w:pPr>
      <w:r>
        <w:t>S</w:t>
      </w:r>
      <w:r w:rsidR="003D307B" w:rsidRPr="009B1FB1">
        <w:t xml:space="preserve">carcity </w:t>
      </w:r>
      <w:r w:rsidR="00933796">
        <w:t>of</w:t>
      </w:r>
      <w:r>
        <w:t xml:space="preserve"> resources undoubtedly compels</w:t>
      </w:r>
      <w:r w:rsidR="003D307B" w:rsidRPr="009B1FB1">
        <w:t xml:space="preserve"> attorneys to make difficult, subjective decisions re</w:t>
      </w:r>
      <w:r>
        <w:t>garding whom to represent. H</w:t>
      </w:r>
      <w:r w:rsidR="003D307B" w:rsidRPr="009B1FB1">
        <w:t>igh success rate</w:t>
      </w:r>
      <w:r>
        <w:t>s</w:t>
      </w:r>
      <w:r w:rsidR="003D307B" w:rsidRPr="009B1FB1">
        <w:t xml:space="preserve"> </w:t>
      </w:r>
      <w:r>
        <w:t>can</w:t>
      </w:r>
      <w:r w:rsidR="00151122">
        <w:t xml:space="preserve"> boost</w:t>
      </w:r>
      <w:r w:rsidR="00DC721B">
        <w:t xml:space="preserve"> morale and</w:t>
      </w:r>
      <w:r w:rsidR="003D307B" w:rsidRPr="009B1FB1">
        <w:t xml:space="preserve"> </w:t>
      </w:r>
      <w:r>
        <w:lastRenderedPageBreak/>
        <w:t>attract</w:t>
      </w:r>
      <w:r w:rsidR="003D307B" w:rsidRPr="009B1FB1">
        <w:t xml:space="preserve"> donors to support a pr</w:t>
      </w:r>
      <w:r>
        <w:t>ovably winning team. Competent r</w:t>
      </w:r>
      <w:r w:rsidR="00DC721B">
        <w:t>epresentation</w:t>
      </w:r>
      <w:r w:rsidR="003D307B" w:rsidRPr="009B1FB1">
        <w:t xml:space="preserve"> </w:t>
      </w:r>
      <w:r>
        <w:t>undoubtedly</w:t>
      </w:r>
      <w:r w:rsidR="00DC721B">
        <w:t xml:space="preserve"> </w:t>
      </w:r>
      <w:r>
        <w:t>helps</w:t>
      </w:r>
      <w:r w:rsidR="003D307B" w:rsidRPr="009B1FB1">
        <w:t xml:space="preserve"> some LGBT </w:t>
      </w:r>
      <w:r w:rsidR="00DC721B">
        <w:t xml:space="preserve">claimants </w:t>
      </w:r>
      <w:r>
        <w:t>who might otherwise struggle to successfully claim</w:t>
      </w:r>
      <w:r w:rsidR="00DC721B">
        <w:t xml:space="preserve"> asylum</w:t>
      </w:r>
      <w:r w:rsidR="003D307B" w:rsidRPr="009B1FB1">
        <w:t xml:space="preserve">. </w:t>
      </w:r>
      <w:r w:rsidR="00B972E5" w:rsidRPr="009B1FB1">
        <w:t>These caveats should not</w:t>
      </w:r>
      <w:r w:rsidR="00DC721B">
        <w:t>, however,</w:t>
      </w:r>
      <w:r w:rsidR="00B972E5" w:rsidRPr="009B1FB1">
        <w:t xml:space="preserve"> obscure the ideological positions of attorney-advocates</w:t>
      </w:r>
      <w:r w:rsidR="00DC721B">
        <w:t xml:space="preserve"> </w:t>
      </w:r>
      <w:r w:rsidR="00151122">
        <w:t xml:space="preserve">who are deeply embroiled in the circulation of </w:t>
      </w:r>
      <w:r w:rsidR="004B2998">
        <w:t xml:space="preserve">limited and limiting </w:t>
      </w:r>
      <w:r w:rsidR="00151122">
        <w:t>disco</w:t>
      </w:r>
      <w:r w:rsidR="00DC721B">
        <w:t>urses about LGBT asylum seekers</w:t>
      </w:r>
      <w:r w:rsidR="00151122">
        <w:t>.</w:t>
      </w:r>
    </w:p>
    <w:p w14:paraId="5AD97C8A" w14:textId="0619321D" w:rsidR="007D50A4" w:rsidRPr="009B1FB1" w:rsidRDefault="007D50A4" w:rsidP="001B3E0D">
      <w:pPr>
        <w:pStyle w:val="PoLAR"/>
      </w:pPr>
      <w:r w:rsidRPr="009B1FB1">
        <w:t xml:space="preserve">Specialist </w:t>
      </w:r>
      <w:r w:rsidR="00266A8D">
        <w:t xml:space="preserve">lawyers providing pro bono services </w:t>
      </w:r>
      <w:r w:rsidR="00151122">
        <w:t xml:space="preserve">at high profile NGOs </w:t>
      </w:r>
      <w:r w:rsidRPr="009B1FB1">
        <w:t>are</w:t>
      </w:r>
      <w:r w:rsidR="00151122">
        <w:t xml:space="preserve"> </w:t>
      </w:r>
      <w:r w:rsidRPr="009B1FB1">
        <w:t xml:space="preserve">regarded </w:t>
      </w:r>
      <w:r w:rsidR="00266A8D">
        <w:t>by media commentators, engaged publics, and some State</w:t>
      </w:r>
      <w:r w:rsidR="00266A8D" w:rsidRPr="009B1FB1">
        <w:t xml:space="preserve"> </w:t>
      </w:r>
      <w:r w:rsidR="00266A8D">
        <w:t xml:space="preserve">officials </w:t>
      </w:r>
      <w:r w:rsidRPr="009B1FB1">
        <w:t xml:space="preserve">as expert voices on </w:t>
      </w:r>
      <w:r w:rsidR="00266A8D">
        <w:t>LGBT asylum seekers</w:t>
      </w:r>
      <w:r w:rsidR="00151122">
        <w:t xml:space="preserve">. </w:t>
      </w:r>
      <w:r w:rsidR="00DF572A" w:rsidRPr="009B1FB1">
        <w:t>RIC</w:t>
      </w:r>
      <w:r w:rsidR="00901114">
        <w:t>’s</w:t>
      </w:r>
      <w:r w:rsidRPr="009B1FB1">
        <w:t xml:space="preserve"> </w:t>
      </w:r>
      <w:r w:rsidR="00901114">
        <w:t>attorney</w:t>
      </w:r>
      <w:r w:rsidR="00266A8D">
        <w:t xml:space="preserve">s </w:t>
      </w:r>
      <w:r w:rsidR="00E65D3A">
        <w:t>have</w:t>
      </w:r>
      <w:r w:rsidR="00266A8D">
        <w:t xml:space="preserve"> </w:t>
      </w:r>
      <w:r w:rsidR="00E65D3A">
        <w:t xml:space="preserve">had </w:t>
      </w:r>
      <w:r w:rsidR="00266A8D">
        <w:t>particular</w:t>
      </w:r>
      <w:r w:rsidR="00901114">
        <w:t xml:space="preserve">ly visible platforms, </w:t>
      </w:r>
      <w:r w:rsidRPr="009B1FB1">
        <w:t>through campai</w:t>
      </w:r>
      <w:r w:rsidR="003D307B" w:rsidRPr="009B1FB1">
        <w:t xml:space="preserve">gn emails, </w:t>
      </w:r>
      <w:r w:rsidR="006D16D3" w:rsidRPr="009B1FB1">
        <w:t xml:space="preserve">webinars, </w:t>
      </w:r>
      <w:r w:rsidR="004B2998">
        <w:t>press coverage</w:t>
      </w:r>
      <w:r w:rsidR="003D307B" w:rsidRPr="009B1FB1">
        <w:t xml:space="preserve">, </w:t>
      </w:r>
      <w:r w:rsidR="004E26A0">
        <w:t>Op-Eds,</w:t>
      </w:r>
      <w:r w:rsidR="003D307B" w:rsidRPr="009B1FB1">
        <w:t xml:space="preserve"> </w:t>
      </w:r>
      <w:r w:rsidR="004E26A0">
        <w:t xml:space="preserve">and conference </w:t>
      </w:r>
      <w:r w:rsidR="004B2998">
        <w:t>presentations</w:t>
      </w:r>
      <w:r w:rsidR="004E26A0">
        <w:t>.</w:t>
      </w:r>
      <w:r w:rsidR="00151122">
        <w:t xml:space="preserve"> They also inform policy</w:t>
      </w:r>
      <w:r w:rsidR="00901114">
        <w:t>:</w:t>
      </w:r>
      <w:r w:rsidR="00151122">
        <w:t xml:space="preserve"> </w:t>
      </w:r>
      <w:r w:rsidR="00DF572A" w:rsidRPr="009B1FB1">
        <w:t>RIC</w:t>
      </w:r>
      <w:r w:rsidRPr="009B1FB1">
        <w:t xml:space="preserve"> </w:t>
      </w:r>
      <w:r w:rsidR="00FD20ED">
        <w:t xml:space="preserve">has </w:t>
      </w:r>
      <w:r w:rsidR="00790F13" w:rsidRPr="009B1FB1">
        <w:t xml:space="preserve">formally </w:t>
      </w:r>
      <w:r w:rsidR="00901114">
        <w:t>consulted with</w:t>
      </w:r>
      <w:r w:rsidR="00151122">
        <w:t xml:space="preserve"> </w:t>
      </w:r>
      <w:r w:rsidR="00FD20ED" w:rsidRPr="009B1FB1">
        <w:t>USCIS</w:t>
      </w:r>
      <w:r w:rsidR="00FD20ED">
        <w:t xml:space="preserve"> </w:t>
      </w:r>
      <w:r w:rsidR="00901114">
        <w:t>to author</w:t>
      </w:r>
      <w:r w:rsidRPr="009B1FB1">
        <w:t xml:space="preserve"> directives and training manuals</w:t>
      </w:r>
      <w:r w:rsidR="00FD20ED">
        <w:t xml:space="preserve"> for </w:t>
      </w:r>
      <w:r w:rsidR="004B2998">
        <w:t>adjudicators</w:t>
      </w:r>
      <w:r w:rsidRPr="009B1FB1">
        <w:t xml:space="preserve">. </w:t>
      </w:r>
      <w:r w:rsidR="00901114">
        <w:t>RIC’s</w:t>
      </w:r>
      <w:r w:rsidRPr="009B1FB1">
        <w:t xml:space="preserve"> stated aim is to reform the asylum system to better serve the needs of LGBT claimants</w:t>
      </w:r>
      <w:r w:rsidR="00901114">
        <w:t>.</w:t>
      </w:r>
      <w:r w:rsidR="006D16D3" w:rsidRPr="009B1FB1">
        <w:t xml:space="preserve"> </w:t>
      </w:r>
      <w:r w:rsidR="00901114">
        <w:t>S</w:t>
      </w:r>
      <w:r w:rsidR="006D16D3" w:rsidRPr="009B1FB1">
        <w:t xml:space="preserve">uch </w:t>
      </w:r>
      <w:r w:rsidR="00151122">
        <w:t>formal engagements</w:t>
      </w:r>
      <w:r w:rsidR="006D16D3" w:rsidRPr="009B1FB1">
        <w:t xml:space="preserve"> may offer one pathway to that end</w:t>
      </w:r>
      <w:r w:rsidRPr="009B1FB1">
        <w:t xml:space="preserve">. Yet, as the advice of its Staff Attorney </w:t>
      </w:r>
      <w:r w:rsidR="00151122">
        <w:t xml:space="preserve">Mr. Ho </w:t>
      </w:r>
      <w:r w:rsidRPr="009B1FB1">
        <w:t>reveal</w:t>
      </w:r>
      <w:r w:rsidR="006D16D3" w:rsidRPr="009B1FB1">
        <w:t>s</w:t>
      </w:r>
      <w:r w:rsidRPr="009B1FB1">
        <w:t xml:space="preserve">, the </w:t>
      </w:r>
      <w:r w:rsidR="00DF572A" w:rsidRPr="009B1FB1">
        <w:t>RIC</w:t>
      </w:r>
      <w:r w:rsidRPr="009B1FB1">
        <w:t xml:space="preserve"> assessment of who may be </w:t>
      </w:r>
      <w:r w:rsidR="006D16D3" w:rsidRPr="009B1FB1">
        <w:t>seen as an LGBT asylum seeker</w:t>
      </w:r>
      <w:r w:rsidRPr="009B1FB1">
        <w:t xml:space="preserve"> is </w:t>
      </w:r>
      <w:r w:rsidR="00151122">
        <w:t xml:space="preserve">also </w:t>
      </w:r>
      <w:proofErr w:type="gramStart"/>
      <w:r w:rsidRPr="009B1FB1">
        <w:t>partial, and</w:t>
      </w:r>
      <w:proofErr w:type="gramEnd"/>
      <w:r w:rsidRPr="009B1FB1">
        <w:t xml:space="preserve"> </w:t>
      </w:r>
      <w:r w:rsidR="004E26A0">
        <w:t xml:space="preserve">is </w:t>
      </w:r>
      <w:r w:rsidR="00151122">
        <w:t xml:space="preserve">also </w:t>
      </w:r>
      <w:r w:rsidRPr="009B1FB1">
        <w:t>informed by</w:t>
      </w:r>
      <w:r w:rsidR="0029321F" w:rsidRPr="009B1FB1">
        <w:t xml:space="preserve"> normative</w:t>
      </w:r>
      <w:r w:rsidRPr="009B1FB1">
        <w:t xml:space="preserve"> </w:t>
      </w:r>
      <w:r w:rsidR="0029321F" w:rsidRPr="009B1FB1">
        <w:t>and Western perspectives</w:t>
      </w:r>
      <w:r w:rsidR="00151122">
        <w:t>—echoing, albeit in a slightly different tenor, th</w:t>
      </w:r>
      <w:r w:rsidR="0029321F" w:rsidRPr="009B1FB1">
        <w:t xml:space="preserve">e </w:t>
      </w:r>
      <w:r w:rsidR="004E26A0">
        <w:t xml:space="preserve">existing </w:t>
      </w:r>
      <w:r w:rsidR="00151122">
        <w:t>perspective</w:t>
      </w:r>
      <w:r w:rsidR="004E26A0">
        <w:t>s</w:t>
      </w:r>
      <w:r w:rsidR="00151122">
        <w:t xml:space="preserve"> </w:t>
      </w:r>
      <w:r w:rsidR="0029321F" w:rsidRPr="009B1FB1">
        <w:t xml:space="preserve">of </w:t>
      </w:r>
      <w:r w:rsidR="00151122">
        <w:t xml:space="preserve">U.S. </w:t>
      </w:r>
      <w:r w:rsidR="0029321F" w:rsidRPr="009B1FB1">
        <w:t>State</w:t>
      </w:r>
      <w:r w:rsidR="004E26A0">
        <w:t xml:space="preserve"> officials</w:t>
      </w:r>
      <w:r w:rsidR="003D307B" w:rsidRPr="009B1FB1">
        <w:t>.</w:t>
      </w:r>
    </w:p>
    <w:p w14:paraId="2B69E9EF" w14:textId="53278D50" w:rsidR="007D50A4" w:rsidRPr="009B1FB1" w:rsidRDefault="007D50A4" w:rsidP="001B3E0D">
      <w:pPr>
        <w:pStyle w:val="PoLAR"/>
      </w:pPr>
      <w:r w:rsidRPr="009B1FB1">
        <w:t xml:space="preserve">Funding cuts and demand </w:t>
      </w:r>
      <w:r w:rsidR="000043DD">
        <w:t xml:space="preserve">for services </w:t>
      </w:r>
      <w:r w:rsidRPr="009B1FB1">
        <w:t>have made it increasin</w:t>
      </w:r>
      <w:r w:rsidR="004E26A0">
        <w:t xml:space="preserve">gly difficult for </w:t>
      </w:r>
      <w:r w:rsidR="002F61E7">
        <w:t xml:space="preserve">all </w:t>
      </w:r>
      <w:r w:rsidR="0018022F">
        <w:t>asylum seekers</w:t>
      </w:r>
      <w:r w:rsidR="002F61E7">
        <w:t>—not only those who are LGBT—</w:t>
      </w:r>
      <w:r w:rsidR="004E26A0">
        <w:t>to</w:t>
      </w:r>
      <w:r w:rsidR="002F61E7">
        <w:t xml:space="preserve"> </w:t>
      </w:r>
      <w:r w:rsidR="004E26A0">
        <w:t xml:space="preserve">secure legal </w:t>
      </w:r>
      <w:r w:rsidRPr="009B1FB1">
        <w:t>representation</w:t>
      </w:r>
      <w:r w:rsidR="004E26A0">
        <w:t xml:space="preserve">, </w:t>
      </w:r>
      <w:r w:rsidR="004E26A0">
        <w:lastRenderedPageBreak/>
        <w:t xml:space="preserve">particularly </w:t>
      </w:r>
      <w:r w:rsidR="00FD3489">
        <w:t xml:space="preserve">if they are </w:t>
      </w:r>
      <w:r w:rsidR="004E26A0">
        <w:t xml:space="preserve">not </w:t>
      </w:r>
      <w:r w:rsidR="00FD3489">
        <w:t xml:space="preserve">regarded by </w:t>
      </w:r>
      <w:r w:rsidR="002F61E7">
        <w:t xml:space="preserve">potential </w:t>
      </w:r>
      <w:r w:rsidR="00FD3489">
        <w:t xml:space="preserve">providers as </w:t>
      </w:r>
      <w:r w:rsidR="001C4110">
        <w:t>“</w:t>
      </w:r>
      <w:r w:rsidR="004E26A0">
        <w:t>sympathetic,</w:t>
      </w:r>
      <w:r w:rsidR="001C4110">
        <w:t>”</w:t>
      </w:r>
      <w:r w:rsidR="004E26A0">
        <w:t xml:space="preserve"> </w:t>
      </w:r>
      <w:r w:rsidR="001C4110">
        <w:t>“</w:t>
      </w:r>
      <w:r w:rsidR="004E26A0">
        <w:t>exciting,</w:t>
      </w:r>
      <w:r w:rsidR="001C4110">
        <w:t>”</w:t>
      </w:r>
      <w:r w:rsidR="004E26A0">
        <w:t xml:space="preserve"> and/ or </w:t>
      </w:r>
      <w:r w:rsidR="001C4110">
        <w:t>“</w:t>
      </w:r>
      <w:r w:rsidR="004E26A0">
        <w:t>credible</w:t>
      </w:r>
      <w:r w:rsidR="001C4110">
        <w:t>”</w:t>
      </w:r>
      <w:r w:rsidRPr="009B1FB1">
        <w:t>,</w:t>
      </w:r>
      <w:r w:rsidR="003C2B15" w:rsidRPr="009B1FB1">
        <w:t xml:space="preserve"> </w:t>
      </w:r>
      <w:r w:rsidR="004E26A0">
        <w:t xml:space="preserve">or </w:t>
      </w:r>
      <w:r w:rsidR="00FD3489">
        <w:t>if their cases</w:t>
      </w:r>
      <w:r w:rsidR="004E26A0">
        <w:t xml:space="preserve"> are </w:t>
      </w:r>
      <w:r w:rsidR="00FD3489">
        <w:t>complex</w:t>
      </w:r>
      <w:r w:rsidR="002F61E7">
        <w:t xml:space="preserve"> enough to require</w:t>
      </w:r>
      <w:r w:rsidR="0018022F">
        <w:t xml:space="preserve"> </w:t>
      </w:r>
      <w:r w:rsidR="00AE111C">
        <w:t>senior</w:t>
      </w:r>
      <w:r w:rsidRPr="009B1FB1">
        <w:t xml:space="preserve"> </w:t>
      </w:r>
      <w:r w:rsidR="00AE111C">
        <w:t>staff attention</w:t>
      </w:r>
      <w:r w:rsidR="004E26A0">
        <w:t xml:space="preserve">. </w:t>
      </w:r>
      <w:r w:rsidR="00207DDC">
        <w:t>Because</w:t>
      </w:r>
      <w:r w:rsidR="006D0E45">
        <w:t xml:space="preserve"> adjudicators </w:t>
      </w:r>
      <w:r w:rsidR="00E032B4">
        <w:t xml:space="preserve">know and </w:t>
      </w:r>
      <w:r w:rsidR="006D0E45">
        <w:t xml:space="preserve">understand </w:t>
      </w:r>
      <w:r w:rsidR="002F61E7">
        <w:t xml:space="preserve">organizations’ </w:t>
      </w:r>
      <w:r w:rsidR="00AE111C">
        <w:t>selection processes and criteria,</w:t>
      </w:r>
      <w:r w:rsidR="006D0E45">
        <w:t xml:space="preserve"> </w:t>
      </w:r>
      <w:r w:rsidR="00E032B4">
        <w:t xml:space="preserve">merely </w:t>
      </w:r>
      <w:r w:rsidR="00207DDC">
        <w:t>securing representation—particularly</w:t>
      </w:r>
      <w:r w:rsidR="00207DDC" w:rsidRPr="00207DDC">
        <w:t xml:space="preserve"> </w:t>
      </w:r>
      <w:r w:rsidR="002F61E7">
        <w:t xml:space="preserve">if it is </w:t>
      </w:r>
      <w:r w:rsidR="00207DDC">
        <w:t>pro bono—</w:t>
      </w:r>
      <w:r w:rsidR="00E032B4">
        <w:t xml:space="preserve">renders an asylum seeker </w:t>
      </w:r>
      <w:r w:rsidR="002F61E7">
        <w:t xml:space="preserve">immediately </w:t>
      </w:r>
      <w:r w:rsidR="00E032B4">
        <w:t xml:space="preserve">legible as having a “strong” </w:t>
      </w:r>
      <w:r w:rsidR="00207DDC">
        <w:t xml:space="preserve">case. Failure to secure </w:t>
      </w:r>
      <w:r w:rsidR="00AE111C">
        <w:t xml:space="preserve">pro bono </w:t>
      </w:r>
      <w:r w:rsidR="00207DDC">
        <w:t>counsel</w:t>
      </w:r>
      <w:r w:rsidR="00E032B4">
        <w:t>, by extension, suggest</w:t>
      </w:r>
      <w:r w:rsidR="0005552F">
        <w:t>s</w:t>
      </w:r>
      <w:r w:rsidR="00207DDC">
        <w:t xml:space="preserve"> </w:t>
      </w:r>
      <w:r w:rsidR="00E032B4">
        <w:t>otherwise</w:t>
      </w:r>
      <w:r w:rsidR="00207DDC">
        <w:t>.</w:t>
      </w:r>
      <w:r w:rsidR="006C59A4">
        <w:t xml:space="preserve"> </w:t>
      </w:r>
      <w:r w:rsidR="002F61E7">
        <w:t xml:space="preserve">In this context, </w:t>
      </w:r>
      <w:r w:rsidR="0005552F">
        <w:t xml:space="preserve">the </w:t>
      </w:r>
      <w:r w:rsidR="004C4A06">
        <w:t>s</w:t>
      </w:r>
      <w:r w:rsidR="00E032B4">
        <w:t>tatistic</w:t>
      </w:r>
      <w:r w:rsidR="002F61E7">
        <w:t>al evidence</w:t>
      </w:r>
      <w:r w:rsidR="004C4A06">
        <w:t xml:space="preserve"> that </w:t>
      </w:r>
      <w:r w:rsidR="005D66B7">
        <w:t>having</w:t>
      </w:r>
      <w:r w:rsidR="00861D14">
        <w:t xml:space="preserve"> </w:t>
      </w:r>
      <w:r w:rsidR="004C4A06">
        <w:t>qualified</w:t>
      </w:r>
      <w:r w:rsidR="002F61E7">
        <w:t xml:space="preserve"> representation</w:t>
      </w:r>
      <w:r w:rsidR="006C59A4">
        <w:t xml:space="preserve"> </w:t>
      </w:r>
      <w:r w:rsidR="004C4A06">
        <w:t>dramatically</w:t>
      </w:r>
      <w:r w:rsidR="00861D14">
        <w:t xml:space="preserve"> improve</w:t>
      </w:r>
      <w:r w:rsidR="002F61E7">
        <w:t>s</w:t>
      </w:r>
      <w:r w:rsidR="00861D14">
        <w:t xml:space="preserve"> a claima</w:t>
      </w:r>
      <w:r w:rsidR="00FD3489">
        <w:t>n</w:t>
      </w:r>
      <w:r w:rsidR="00AF4D2E">
        <w:t xml:space="preserve">ts’ chances of </w:t>
      </w:r>
      <w:r w:rsidR="004C4A06">
        <w:t>success</w:t>
      </w:r>
      <w:r w:rsidR="00AF4D2E">
        <w:t xml:space="preserve"> (</w:t>
      </w:r>
      <w:r w:rsidR="0023414C">
        <w:t>TRAC 2016</w:t>
      </w:r>
      <w:r w:rsidR="00AF4D2E">
        <w:t>)</w:t>
      </w:r>
      <w:r w:rsidR="00D01C78">
        <w:t xml:space="preserve"> </w:t>
      </w:r>
      <w:r w:rsidR="002F61E7">
        <w:t xml:space="preserve">cannot be read as a simple causality. </w:t>
      </w:r>
      <w:r w:rsidR="0005552F">
        <w:t>Instead, f</w:t>
      </w:r>
      <w:r w:rsidR="002F61E7">
        <w:t>or some claimants, m</w:t>
      </w:r>
      <w:r w:rsidR="006D0E45">
        <w:t>eet</w:t>
      </w:r>
      <w:r w:rsidR="00D01C78">
        <w:t>ing</w:t>
      </w:r>
      <w:r w:rsidRPr="009B1FB1">
        <w:t xml:space="preserve"> </w:t>
      </w:r>
      <w:r w:rsidR="00CD7E11">
        <w:t>non-governmental</w:t>
      </w:r>
      <w:r w:rsidR="001C4110">
        <w:t xml:space="preserve"> </w:t>
      </w:r>
      <w:r w:rsidRPr="009B1FB1">
        <w:t>expectations</w:t>
      </w:r>
      <w:r w:rsidR="003621D6">
        <w:t xml:space="preserve"> </w:t>
      </w:r>
      <w:r w:rsidR="002F61E7">
        <w:t xml:space="preserve">has become the first hurdle in the asylum </w:t>
      </w:r>
      <w:r w:rsidR="00D01C78">
        <w:t>process</w:t>
      </w:r>
      <w:r w:rsidRPr="009B1FB1">
        <w:t xml:space="preserve">. </w:t>
      </w:r>
    </w:p>
    <w:p w14:paraId="194050B7" w14:textId="77777777" w:rsidR="007D50A4" w:rsidRPr="007A5C3D" w:rsidRDefault="007D50A4" w:rsidP="000214D5">
      <w:pPr>
        <w:pStyle w:val="PoLAR"/>
        <w:outlineLvl w:val="0"/>
        <w:rPr>
          <w:b/>
        </w:rPr>
      </w:pPr>
      <w:r w:rsidRPr="007A5C3D">
        <w:rPr>
          <w:b/>
        </w:rPr>
        <w:t>Foreclosed Subjectivities</w:t>
      </w:r>
    </w:p>
    <w:p w14:paraId="53F27704" w14:textId="07930272" w:rsidR="0027685D" w:rsidRDefault="00D01C78" w:rsidP="0027685D">
      <w:pPr>
        <w:pStyle w:val="PoLAR"/>
      </w:pPr>
      <w:r>
        <w:t xml:space="preserve">In the United States, asylum seekers cannot legally work until at least six months after submitting their </w:t>
      </w:r>
      <w:proofErr w:type="gramStart"/>
      <w:r>
        <w:t>claim</w:t>
      </w:r>
      <w:r w:rsidR="0005552F">
        <w:t>,</w:t>
      </w:r>
      <w:r w:rsidR="0027685D">
        <w:t xml:space="preserve"> and</w:t>
      </w:r>
      <w:proofErr w:type="gramEnd"/>
      <w:r w:rsidR="0027685D">
        <w:t xml:space="preserve"> </w:t>
      </w:r>
      <w:r>
        <w:t>are barred from accessing federal welfare programs. U</w:t>
      </w:r>
      <w:r w:rsidR="0027685D">
        <w:t>nless they are well-connected</w:t>
      </w:r>
      <w:r>
        <w:t xml:space="preserve"> or have substantial personal resources, </w:t>
      </w:r>
      <w:r w:rsidR="0005552F">
        <w:t>they</w:t>
      </w:r>
      <w:r>
        <w:t xml:space="preserve"> are extremely likely to experience poverty and homelessness. </w:t>
      </w:r>
      <w:r w:rsidR="0005552F">
        <w:t>NGOs provide</w:t>
      </w:r>
      <w:r w:rsidR="0027685D">
        <w:t xml:space="preserve"> invaluable support to many. </w:t>
      </w:r>
      <w:r w:rsidR="00E83D99">
        <w:t>Yet d</w:t>
      </w:r>
      <w:r w:rsidR="0027685D">
        <w:t xml:space="preserve">iscourses concerning LGBT asylum seekers circulate beyond legal service providers and throughout the NGO sector, influencing founders’, </w:t>
      </w:r>
      <w:r w:rsidR="00E83D99">
        <w:t>workers’</w:t>
      </w:r>
      <w:r w:rsidR="0027685D">
        <w:t xml:space="preserve">, and volunteers’ ideas about who are </w:t>
      </w:r>
      <w:r w:rsidR="00E83D99">
        <w:t xml:space="preserve">the </w:t>
      </w:r>
      <w:r w:rsidR="0027685D">
        <w:t>most vulnerable and in need of aid.</w:t>
      </w:r>
      <w:r w:rsidR="00D13436" w:rsidRPr="00D13436">
        <w:t xml:space="preserve"> </w:t>
      </w:r>
      <w:r w:rsidR="00D13436">
        <w:t xml:space="preserve">The NGOs at which I </w:t>
      </w:r>
      <w:r w:rsidR="00E83D99">
        <w:t>conducted my research</w:t>
      </w:r>
      <w:r w:rsidR="00D13436">
        <w:t xml:space="preserve"> </w:t>
      </w:r>
      <w:r w:rsidR="00E83D99">
        <w:t xml:space="preserve">were </w:t>
      </w:r>
      <w:r w:rsidR="00E83D99">
        <w:lastRenderedPageBreak/>
        <w:t xml:space="preserve">established to </w:t>
      </w:r>
      <w:r w:rsidR="000A7B9B">
        <w:t xml:space="preserve">provide material support—housing, stipends, travel cards, educational programs, healthcare referrals, etc.—specifically and exclusively to </w:t>
      </w:r>
      <w:r w:rsidR="00D13436">
        <w:t>LGBT asylum seekers.</w:t>
      </w:r>
    </w:p>
    <w:p w14:paraId="6DD365D1" w14:textId="06FBB877" w:rsidR="007D50A4" w:rsidRPr="009B1FB1" w:rsidRDefault="000A7B9B" w:rsidP="007A5C3D">
      <w:pPr>
        <w:pStyle w:val="PoLAR"/>
      </w:pPr>
      <w:r>
        <w:t>T</w:t>
      </w:r>
      <w:r w:rsidR="00FD6B13">
        <w:t xml:space="preserve">hese NGOs </w:t>
      </w:r>
      <w:r>
        <w:t xml:space="preserve">also </w:t>
      </w:r>
      <w:r w:rsidR="00FD6B13">
        <w:t>conducted intake interviews</w:t>
      </w:r>
      <w:r w:rsidR="004C51F2">
        <w:t xml:space="preserve">—of varying levels of formality—with </w:t>
      </w:r>
      <w:r w:rsidR="00430A12">
        <w:t>poten</w:t>
      </w:r>
      <w:r w:rsidR="00FD6B13">
        <w:t xml:space="preserve">tial service users. At each </w:t>
      </w:r>
      <w:r>
        <w:t>one</w:t>
      </w:r>
      <w:r w:rsidR="00430A12">
        <w:t xml:space="preserve">, having an attorney </w:t>
      </w:r>
      <w:r w:rsidR="00F53B1A">
        <w:t xml:space="preserve">was </w:t>
      </w:r>
      <w:r w:rsidR="00FD6B13">
        <w:t>a criterion for acceptance into the</w:t>
      </w:r>
      <w:r w:rsidR="00430A12">
        <w:t xml:space="preserve"> program, compounding the challenges faced by those who struggled, for </w:t>
      </w:r>
      <w:r w:rsidR="00FD6B13">
        <w:t xml:space="preserve">any </w:t>
      </w:r>
      <w:r w:rsidR="00430A12">
        <w:t xml:space="preserve">reason, to secure representation. </w:t>
      </w:r>
      <w:r w:rsidR="006A4281">
        <w:t xml:space="preserve">Having a lawyer did not necessarily reduce scrutiny of individuals’ experiences or subjectivities, however. </w:t>
      </w:r>
      <w:r w:rsidR="00FD6B13">
        <w:t>At each site</w:t>
      </w:r>
      <w:r w:rsidR="006A4281">
        <w:t>, those LGBT asylum seekers</w:t>
      </w:r>
      <w:r w:rsidR="00F53B1A">
        <w:t xml:space="preserve"> </w:t>
      </w:r>
      <w:r w:rsidR="007D50A4" w:rsidRPr="009B1FB1">
        <w:t xml:space="preserve">who did not </w:t>
      </w:r>
      <w:r w:rsidR="006A4281">
        <w:t>conform to NGO workers’ expectations</w:t>
      </w:r>
      <w:r w:rsidR="006A4281" w:rsidRPr="009B1FB1">
        <w:t xml:space="preserve"> </w:t>
      </w:r>
      <w:r w:rsidR="007D50A4" w:rsidRPr="009B1FB1">
        <w:t>often found their sexua</w:t>
      </w:r>
      <w:r w:rsidR="006A4281">
        <w:t>l subjectivity and histories subject to questioning, and rumor</w:t>
      </w:r>
      <w:r w:rsidR="007D50A4" w:rsidRPr="009B1FB1">
        <w:t xml:space="preserve">. </w:t>
      </w:r>
      <w:r w:rsidR="004E230E">
        <w:t xml:space="preserve">As in </w:t>
      </w:r>
      <w:r w:rsidR="006A4281">
        <w:t xml:space="preserve">the </w:t>
      </w:r>
      <w:r w:rsidR="004E230E">
        <w:t>legal contexts</w:t>
      </w:r>
      <w:r w:rsidR="006A4281">
        <w:t xml:space="preserve"> addressed above</w:t>
      </w:r>
      <w:r w:rsidR="004E230E">
        <w:t xml:space="preserve">, </w:t>
      </w:r>
      <w:r w:rsidR="006A4281">
        <w:t xml:space="preserve">two behaviors </w:t>
      </w:r>
      <w:r w:rsidR="00AB4AF3">
        <w:t xml:space="preserve">in </w:t>
      </w:r>
      <w:r w:rsidR="006A4281">
        <w:t xml:space="preserve">particular aroused suspicion: </w:t>
      </w:r>
      <w:r w:rsidR="004E230E">
        <w:t>o</w:t>
      </w:r>
      <w:r w:rsidR="00C13B5F">
        <w:t xml:space="preserve">pposite-sex desire </w:t>
      </w:r>
      <w:r w:rsidR="007D50A4" w:rsidRPr="009B1FB1">
        <w:t xml:space="preserve">and </w:t>
      </w:r>
      <w:r w:rsidR="00F53B1A">
        <w:t>hesitancy</w:t>
      </w:r>
      <w:r w:rsidR="007D50A4" w:rsidRPr="009B1FB1">
        <w:t xml:space="preserve"> to</w:t>
      </w:r>
      <w:r w:rsidR="00C13B5F">
        <w:t xml:space="preserve"> </w:t>
      </w:r>
      <w:r w:rsidR="007D50A4" w:rsidRPr="009B1FB1">
        <w:t>disclose.</w:t>
      </w:r>
    </w:p>
    <w:p w14:paraId="3D8FF5D2" w14:textId="32C0D83A" w:rsidR="007D50A4" w:rsidRPr="007A5C3D" w:rsidRDefault="005249F8" w:rsidP="000214D5">
      <w:pPr>
        <w:pStyle w:val="PoLAR"/>
        <w:outlineLvl w:val="0"/>
        <w:rPr>
          <w:i/>
        </w:rPr>
      </w:pPr>
      <w:r>
        <w:rPr>
          <w:i/>
        </w:rPr>
        <w:t xml:space="preserve">The </w:t>
      </w:r>
      <w:r w:rsidR="003B3330">
        <w:rPr>
          <w:i/>
        </w:rPr>
        <w:t>Fa</w:t>
      </w:r>
      <w:r w:rsidR="003B3330" w:rsidRPr="007A5C3D">
        <w:rPr>
          <w:i/>
        </w:rPr>
        <w:t>ll</w:t>
      </w:r>
      <w:r w:rsidR="003B3330">
        <w:rPr>
          <w:i/>
        </w:rPr>
        <w:t>a</w:t>
      </w:r>
      <w:r w:rsidR="003B3330" w:rsidRPr="007A5C3D">
        <w:rPr>
          <w:i/>
        </w:rPr>
        <w:t>cy</w:t>
      </w:r>
      <w:r w:rsidR="007D50A4" w:rsidRPr="007A5C3D">
        <w:rPr>
          <w:i/>
        </w:rPr>
        <w:t xml:space="preserve"> of the “B” </w:t>
      </w:r>
    </w:p>
    <w:p w14:paraId="56D645CA" w14:textId="1A6BEE7A" w:rsidR="007D50A4" w:rsidRPr="009B1FB1" w:rsidRDefault="007D50A4" w:rsidP="007A5C3D">
      <w:pPr>
        <w:pStyle w:val="PoLAR"/>
      </w:pPr>
      <w:r w:rsidRPr="009B1FB1">
        <w:t xml:space="preserve">According to </w:t>
      </w:r>
      <w:r w:rsidR="00C13B5F">
        <w:t>its</w:t>
      </w:r>
      <w:r w:rsidRPr="009B1FB1">
        <w:t xml:space="preserve"> </w:t>
      </w:r>
      <w:r w:rsidR="006A4281">
        <w:t>staff</w:t>
      </w:r>
      <w:r w:rsidR="00C13B5F">
        <w:t>,</w:t>
      </w:r>
      <w:r w:rsidRPr="009B1FB1">
        <w:t xml:space="preserve"> </w:t>
      </w:r>
      <w:r w:rsidR="00C13B5F">
        <w:t xml:space="preserve">the </w:t>
      </w:r>
      <w:r w:rsidR="00066BB3" w:rsidRPr="009B1FB1">
        <w:t>Program for LGBT Asylum Seekers (</w:t>
      </w:r>
      <w:r w:rsidRPr="009B1FB1">
        <w:t>PLAS</w:t>
      </w:r>
      <w:r w:rsidR="00C13B5F">
        <w:t>)</w:t>
      </w:r>
      <w:r w:rsidR="00066BB3" w:rsidRPr="009B1FB1">
        <w:t xml:space="preserve"> in Nottsborough,</w:t>
      </w:r>
      <w:bookmarkStart w:id="0" w:name="_GoBack"/>
      <w:bookmarkEnd w:id="0"/>
      <w:r w:rsidRPr="009B1FB1">
        <w:t xml:space="preserve"> </w:t>
      </w:r>
      <w:r w:rsidR="00066BB3" w:rsidRPr="009B1FB1">
        <w:t xml:space="preserve">New England, </w:t>
      </w:r>
      <w:r w:rsidR="00C13B5F">
        <w:t xml:space="preserve">had never </w:t>
      </w:r>
      <w:r w:rsidR="006A4281">
        <w:t xml:space="preserve">had </w:t>
      </w:r>
      <w:r w:rsidR="00C13B5F">
        <w:t xml:space="preserve">a </w:t>
      </w:r>
      <w:r w:rsidR="00066BB3" w:rsidRPr="009B1FB1">
        <w:t xml:space="preserve">bisexual </w:t>
      </w:r>
      <w:r w:rsidR="006A4281">
        <w:t>client</w:t>
      </w:r>
      <w:r w:rsidR="00066BB3" w:rsidRPr="009B1FB1">
        <w:t xml:space="preserve">. </w:t>
      </w:r>
      <w:r w:rsidR="00581ABE">
        <w:t>During my nine months at PLAS</w:t>
      </w:r>
      <w:r w:rsidRPr="009B1FB1">
        <w:t>, however</w:t>
      </w:r>
      <w:r w:rsidR="00C13B5F">
        <w:t>, it</w:t>
      </w:r>
      <w:r w:rsidR="00581ABE">
        <w:t xml:space="preserve"> became clear that some</w:t>
      </w:r>
      <w:r w:rsidRPr="009B1FB1">
        <w:t xml:space="preserve"> clients had voluntarily engaged in opposite-sex relationships—and that some continued to do so. Mia, from Trinidad, was candid </w:t>
      </w:r>
      <w:r w:rsidR="006A4281">
        <w:t xml:space="preserve">with me </w:t>
      </w:r>
      <w:r w:rsidRPr="009B1FB1">
        <w:t xml:space="preserve">about her past relationships with </w:t>
      </w:r>
      <w:proofErr w:type="gramStart"/>
      <w:r w:rsidRPr="009B1FB1">
        <w:t>men, but</w:t>
      </w:r>
      <w:proofErr w:type="gramEnd"/>
      <w:r w:rsidRPr="009B1FB1">
        <w:t xml:space="preserve"> was </w:t>
      </w:r>
      <w:r w:rsidR="00066BB3" w:rsidRPr="009B1FB1">
        <w:lastRenderedPageBreak/>
        <w:t>regarded</w:t>
      </w:r>
      <w:r w:rsidRPr="009B1FB1">
        <w:t xml:space="preserve"> by PLAS </w:t>
      </w:r>
      <w:r w:rsidR="00066BB3" w:rsidRPr="009B1FB1">
        <w:t>volunteers as</w:t>
      </w:r>
      <w:r w:rsidRPr="009B1FB1">
        <w:t xml:space="preserve"> a lesbian</w:t>
      </w:r>
      <w:r w:rsidR="006A4281">
        <w:t>. She</w:t>
      </w:r>
      <w:r w:rsidR="00581ABE">
        <w:t xml:space="preserve"> </w:t>
      </w:r>
      <w:r w:rsidRPr="009B1FB1">
        <w:t>was</w:t>
      </w:r>
      <w:r w:rsidR="00066BB3" w:rsidRPr="009B1FB1">
        <w:t xml:space="preserve"> regularly</w:t>
      </w:r>
      <w:r w:rsidR="00581ABE">
        <w:t xml:space="preserve"> introduced as such, </w:t>
      </w:r>
      <w:r w:rsidRPr="009B1FB1">
        <w:t>because</w:t>
      </w:r>
      <w:r w:rsidR="00066BB3" w:rsidRPr="009B1FB1">
        <w:t>, she assumed,</w:t>
      </w:r>
      <w:r w:rsidRPr="009B1FB1">
        <w:t xml:space="preserve"> she had arrived with </w:t>
      </w:r>
      <w:r w:rsidR="006A4281">
        <w:t>a</w:t>
      </w:r>
      <w:r w:rsidRPr="009B1FB1">
        <w:t xml:space="preserve"> </w:t>
      </w:r>
      <w:r w:rsidR="00790F13" w:rsidRPr="009B1FB1">
        <w:t xml:space="preserve">female </w:t>
      </w:r>
      <w:r w:rsidRPr="009B1FB1">
        <w:t xml:space="preserve">partner. </w:t>
      </w:r>
      <w:r w:rsidR="00581ABE">
        <w:t>Mia</w:t>
      </w:r>
      <w:r w:rsidRPr="009B1FB1">
        <w:t xml:space="preserve"> </w:t>
      </w:r>
      <w:r w:rsidR="00066BB3" w:rsidRPr="009B1FB1">
        <w:t>told me</w:t>
      </w:r>
      <w:r w:rsidRPr="009B1FB1">
        <w:t xml:space="preserve"> that she </w:t>
      </w:r>
      <w:r w:rsidR="00C13B5F">
        <w:t>saw herself as a</w:t>
      </w:r>
      <w:r w:rsidRPr="009B1FB1">
        <w:t xml:space="preserve"> gay woman now, </w:t>
      </w:r>
      <w:r w:rsidR="00C13B5F">
        <w:t xml:space="preserve">but </w:t>
      </w:r>
      <w:r w:rsidR="009D5342">
        <w:t>c</w:t>
      </w:r>
      <w:r w:rsidR="00C13B5F">
        <w:t>ould no</w:t>
      </w:r>
      <w:r w:rsidRPr="009B1FB1">
        <w:t xml:space="preserve">t </w:t>
      </w:r>
      <w:r w:rsidR="009D5342" w:rsidRPr="009B1FB1">
        <w:t>disregard</w:t>
      </w:r>
      <w:r w:rsidRPr="009B1FB1">
        <w:t xml:space="preserve"> past</w:t>
      </w:r>
      <w:r w:rsidR="00C13B5F">
        <w:t xml:space="preserve">, or </w:t>
      </w:r>
      <w:r w:rsidR="005B19E0">
        <w:t xml:space="preserve">possible </w:t>
      </w:r>
      <w:r w:rsidRPr="009B1FB1">
        <w:t xml:space="preserve">future male partners. </w:t>
      </w:r>
      <w:r w:rsidR="005B19E0">
        <w:t>She</w:t>
      </w:r>
      <w:r w:rsidR="00EE06C4">
        <w:t xml:space="preserve"> did not correct </w:t>
      </w:r>
      <w:r w:rsidRPr="009B1FB1">
        <w:t>PLAS</w:t>
      </w:r>
      <w:r w:rsidR="009D5342">
        <w:t xml:space="preserve"> workers’ language</w:t>
      </w:r>
      <w:r w:rsidR="00EE06C4">
        <w:t xml:space="preserve"> or impressions, however, and </w:t>
      </w:r>
      <w:r w:rsidRPr="009B1FB1">
        <w:t xml:space="preserve">was </w:t>
      </w:r>
      <w:r w:rsidR="00EE06C4">
        <w:t xml:space="preserve">generally </w:t>
      </w:r>
      <w:r w:rsidRPr="009B1FB1">
        <w:t xml:space="preserve">cautious about what </w:t>
      </w:r>
      <w:r w:rsidR="005B19E0">
        <w:t xml:space="preserve">they </w:t>
      </w:r>
      <w:r w:rsidR="00EE06C4">
        <w:t>kn</w:t>
      </w:r>
      <w:r w:rsidR="009D5342">
        <w:t>ew about her personal life. She</w:t>
      </w:r>
      <w:r w:rsidR="00066BB3" w:rsidRPr="009B1FB1">
        <w:t xml:space="preserve"> </w:t>
      </w:r>
      <w:r w:rsidRPr="009B1FB1">
        <w:t>was</w:t>
      </w:r>
      <w:r w:rsidR="009D5342">
        <w:t>, she explained,</w:t>
      </w:r>
      <w:r w:rsidRPr="009B1FB1">
        <w:t xml:space="preserve"> </w:t>
      </w:r>
      <w:r w:rsidR="00EE06C4">
        <w:t>fine</w:t>
      </w:r>
      <w:r w:rsidRPr="009B1FB1">
        <w:t xml:space="preserve"> </w:t>
      </w:r>
      <w:r w:rsidR="00EE06C4">
        <w:t>“</w:t>
      </w:r>
      <w:r w:rsidRPr="009B1FB1">
        <w:t>let</w:t>
      </w:r>
      <w:r w:rsidR="00EE06C4">
        <w:t>ting</w:t>
      </w:r>
      <w:r w:rsidRPr="009B1FB1">
        <w:t xml:space="preserve"> them draw the</w:t>
      </w:r>
      <w:r w:rsidR="00EE06C4">
        <w:t>ir own</w:t>
      </w:r>
      <w:r w:rsidR="005B19E0">
        <w:t xml:space="preserve"> conclusions</w:t>
      </w:r>
      <w:r w:rsidR="00EE06C4">
        <w:t>”</w:t>
      </w:r>
      <w:r w:rsidR="005B19E0">
        <w:t xml:space="preserve"> about her sexuality.</w:t>
      </w:r>
    </w:p>
    <w:p w14:paraId="1E405F13" w14:textId="13972C8D" w:rsidR="007D50A4" w:rsidRPr="009B1FB1" w:rsidRDefault="00790F13" w:rsidP="001B3E0D">
      <w:pPr>
        <w:pStyle w:val="PoLAR"/>
      </w:pPr>
      <w:r w:rsidRPr="009B1FB1">
        <w:t>Given my conversations with PLAS staff, I understood Mia’s attitude</w:t>
      </w:r>
      <w:r w:rsidR="007D50A4" w:rsidRPr="009B1FB1">
        <w:t xml:space="preserve">. </w:t>
      </w:r>
      <w:r w:rsidR="005B19E0">
        <w:t>Organizational</w:t>
      </w:r>
      <w:r w:rsidR="00EE06C4">
        <w:t xml:space="preserve"> leaders often</w:t>
      </w:r>
      <w:r w:rsidRPr="009B1FB1">
        <w:t xml:space="preserve"> </w:t>
      </w:r>
      <w:r w:rsidR="00EE06C4">
        <w:t>confided with me</w:t>
      </w:r>
      <w:r w:rsidRPr="009B1FB1">
        <w:t xml:space="preserve"> that they could </w:t>
      </w:r>
      <w:r w:rsidR="00690CAC" w:rsidRPr="009B1FB1">
        <w:t xml:space="preserve">not know </w:t>
      </w:r>
      <w:r w:rsidRPr="009B1FB1">
        <w:t xml:space="preserve">if </w:t>
      </w:r>
      <w:r w:rsidR="00EE06C4">
        <w:t>a</w:t>
      </w:r>
      <w:r w:rsidRPr="009B1FB1">
        <w:t xml:space="preserve"> </w:t>
      </w:r>
      <w:r w:rsidR="00EE06C4">
        <w:t xml:space="preserve">specific </w:t>
      </w:r>
      <w:r w:rsidRPr="009B1FB1">
        <w:t>person was “really</w:t>
      </w:r>
      <w:r w:rsidR="00EE06C4">
        <w:t xml:space="preserve"> </w:t>
      </w:r>
      <w:r w:rsidRPr="009B1FB1">
        <w:t xml:space="preserve">gay.” </w:t>
      </w:r>
      <w:r w:rsidR="009D5342">
        <w:t>None</w:t>
      </w:r>
      <w:r w:rsidR="000303B3">
        <w:t xml:space="preserve"> </w:t>
      </w:r>
      <w:r w:rsidR="009D5342">
        <w:t>mentioned</w:t>
      </w:r>
      <w:r w:rsidR="005B19E0">
        <w:t xml:space="preserve"> b</w:t>
      </w:r>
      <w:r w:rsidR="00EE06C4">
        <w:t xml:space="preserve">isexuality, despite the </w:t>
      </w:r>
      <w:r w:rsidR="005B19E0">
        <w:t>“B” in the</w:t>
      </w:r>
      <w:r w:rsidR="00A35CAD">
        <w:t>ir</w:t>
      </w:r>
      <w:r w:rsidR="005B19E0">
        <w:t xml:space="preserve"> organization’s name</w:t>
      </w:r>
      <w:r w:rsidR="007D50A4" w:rsidRPr="009B1FB1">
        <w:t xml:space="preserve">. </w:t>
      </w:r>
      <w:r w:rsidR="009D5342">
        <w:t xml:space="preserve">An aura of distrust </w:t>
      </w:r>
      <w:r w:rsidR="00A35CAD">
        <w:t>characterized</w:t>
      </w:r>
      <w:r w:rsidR="009D5342">
        <w:t xml:space="preserve"> many interactions</w:t>
      </w:r>
      <w:r w:rsidR="00A35CAD">
        <w:t xml:space="preserve"> between staff and clients</w:t>
      </w:r>
      <w:r w:rsidR="009D5342">
        <w:t>, as f</w:t>
      </w:r>
      <w:r w:rsidR="007D50A4" w:rsidRPr="009B1FB1">
        <w:t xml:space="preserve">ormer client Julia </w:t>
      </w:r>
      <w:r w:rsidR="00690CAC" w:rsidRPr="009B1FB1">
        <w:t>described</w:t>
      </w:r>
      <w:r w:rsidR="007D50A4" w:rsidRPr="009B1FB1">
        <w:t>:</w:t>
      </w:r>
    </w:p>
    <w:p w14:paraId="197985FE" w14:textId="2994EAED" w:rsidR="007D50A4" w:rsidRPr="009B1FB1" w:rsidRDefault="007D50A4" w:rsidP="004A16CB">
      <w:pPr>
        <w:pStyle w:val="Quote"/>
      </w:pPr>
      <w:r w:rsidRPr="009B1FB1">
        <w:rPr>
          <w:i/>
        </w:rPr>
        <w:t>Julia</w:t>
      </w:r>
      <w:r w:rsidRPr="009B1FB1">
        <w:t xml:space="preserve">: There’s this thing of people suspecting each other. "Oh, maybe so and so is not gay." </w:t>
      </w:r>
      <w:proofErr w:type="gramStart"/>
      <w:r w:rsidRPr="009B1FB1">
        <w:t>So</w:t>
      </w:r>
      <w:proofErr w:type="gramEnd"/>
      <w:r w:rsidRPr="009B1FB1">
        <w:t xml:space="preserve"> the</w:t>
      </w:r>
      <w:r w:rsidR="004A16CB">
        <w:t xml:space="preserve">y are already in your business. </w:t>
      </w:r>
      <w:r w:rsidRPr="009B1FB1">
        <w:t xml:space="preserve">But that one comes from </w:t>
      </w:r>
      <w:r w:rsidR="00690CAC" w:rsidRPr="009B1FB1">
        <w:t xml:space="preserve">[PLAS Director] </w:t>
      </w:r>
      <w:r w:rsidRPr="009B1FB1">
        <w:t xml:space="preserve">Marcy. She asks you, "Do you think Kim is gay?" She asks anyone. If she is with you, she'll </w:t>
      </w:r>
      <w:r w:rsidR="00166B94">
        <w:t xml:space="preserve">ask </w:t>
      </w:r>
      <w:r w:rsidRPr="009B1FB1">
        <w:t xml:space="preserve">about me. If she's with me, she'll ask about you. </w:t>
      </w:r>
    </w:p>
    <w:p w14:paraId="66161100" w14:textId="582AD6D9" w:rsidR="007D50A4" w:rsidRPr="009B1FB1" w:rsidRDefault="00AF0590" w:rsidP="004A16CB">
      <w:pPr>
        <w:pStyle w:val="Quote"/>
      </w:pPr>
      <w:r>
        <w:rPr>
          <w:i/>
        </w:rPr>
        <w:t>Me</w:t>
      </w:r>
      <w:r w:rsidR="007D50A4" w:rsidRPr="009B1FB1">
        <w:t>: Where do you think that comes from?</w:t>
      </w:r>
    </w:p>
    <w:p w14:paraId="0A29F94A" w14:textId="748AAE93" w:rsidR="007D50A4" w:rsidRPr="009B1FB1" w:rsidRDefault="007D50A4" w:rsidP="004A16CB">
      <w:pPr>
        <w:pStyle w:val="Quote"/>
      </w:pPr>
      <w:r w:rsidRPr="009B1FB1">
        <w:rPr>
          <w:i/>
        </w:rPr>
        <w:lastRenderedPageBreak/>
        <w:t>Julia</w:t>
      </w:r>
      <w:r w:rsidRPr="009B1FB1">
        <w:t xml:space="preserve">: It comes from-- They-- This whole asylum thing-- I think they don't believe us and because they don't believe us, she makes us police each other. "Oh, do you think so-and-so is gay?” I had to tell her, “Don't ask me, I do not know.” </w:t>
      </w:r>
      <w:r w:rsidR="00790F13" w:rsidRPr="009B1FB1">
        <w:t>[</w:t>
      </w:r>
      <w:r w:rsidR="00A740DC" w:rsidRPr="009B1FB1">
        <w:t>…</w:t>
      </w:r>
      <w:r w:rsidR="004A16CB">
        <w:t xml:space="preserve">] </w:t>
      </w:r>
      <w:r w:rsidRPr="009B1FB1">
        <w:t>I told her: "Stop asking me who is gay and who is not. I don't know. Ask them." Because I was tired of that kind of thing.</w:t>
      </w:r>
    </w:p>
    <w:p w14:paraId="441C415E" w14:textId="519FFFA2" w:rsidR="007D50A4" w:rsidRPr="009B1FB1" w:rsidRDefault="00A35CAD" w:rsidP="003D26B5">
      <w:pPr>
        <w:pStyle w:val="PoLAR"/>
      </w:pPr>
      <w:r w:rsidRPr="009B1FB1">
        <w:t>Julia</w:t>
      </w:r>
      <w:r>
        <w:t>’s</w:t>
      </w:r>
      <w:r w:rsidR="007662E1">
        <w:t xml:space="preserve"> response prompted me to ask</w:t>
      </w:r>
      <w:r w:rsidR="004A16CB">
        <w:t xml:space="preserve"> her thoughts on </w:t>
      </w:r>
      <w:r>
        <w:t xml:space="preserve">similar </w:t>
      </w:r>
      <w:r w:rsidR="007D50A4" w:rsidRPr="009B1FB1">
        <w:t xml:space="preserve">suspicion </w:t>
      </w:r>
      <w:r>
        <w:t>articulated</w:t>
      </w:r>
      <w:r w:rsidR="007D50A4" w:rsidRPr="009B1FB1">
        <w:t xml:space="preserve"> </w:t>
      </w:r>
      <w:r w:rsidR="00690CAC" w:rsidRPr="009B1FB1">
        <w:t xml:space="preserve">within </w:t>
      </w:r>
      <w:r w:rsidR="004A16CB">
        <w:t>the U.S. asylum system</w:t>
      </w:r>
      <w:r>
        <w:t xml:space="preserve"> in general,</w:t>
      </w:r>
      <w:r w:rsidR="004A16CB">
        <w:t xml:space="preserve"> </w:t>
      </w:r>
      <w:r>
        <w:t>mentioning</w:t>
      </w:r>
      <w:r w:rsidR="004A16CB">
        <w:t xml:space="preserve"> </w:t>
      </w:r>
      <w:r>
        <w:t>media</w:t>
      </w:r>
      <w:r w:rsidR="00690CAC" w:rsidRPr="009B1FB1">
        <w:t xml:space="preserve"> </w:t>
      </w:r>
      <w:r>
        <w:t>framings of “bogus</w:t>
      </w:r>
      <w:r w:rsidR="004A16CB">
        <w:t>”</w:t>
      </w:r>
      <w:r>
        <w:t xml:space="preserve"> claims</w:t>
      </w:r>
      <w:r w:rsidR="004A16CB">
        <w:t xml:space="preserve"> </w:t>
      </w:r>
      <w:r w:rsidR="00690CAC" w:rsidRPr="009B1FB1">
        <w:t xml:space="preserve">LGBT identity </w:t>
      </w:r>
      <w:r>
        <w:t xml:space="preserve">made </w:t>
      </w:r>
      <w:r w:rsidR="00690CAC" w:rsidRPr="009B1FB1">
        <w:t xml:space="preserve">in order </w:t>
      </w:r>
      <w:r w:rsidR="007D50A4" w:rsidRPr="009B1FB1">
        <w:t xml:space="preserve">to obtain asylum. Julia </w:t>
      </w:r>
      <w:r w:rsidR="00690CAC" w:rsidRPr="009B1FB1">
        <w:t>scoffed at the idea, pointing</w:t>
      </w:r>
      <w:r w:rsidR="007D50A4" w:rsidRPr="009B1FB1">
        <w:t xml:space="preserve"> out</w:t>
      </w:r>
      <w:r w:rsidR="004A16CB">
        <w:t xml:space="preserve"> the complexity of asylum cases</w:t>
      </w:r>
      <w:r w:rsidR="007D50A4" w:rsidRPr="009B1FB1">
        <w:t xml:space="preserve"> </w:t>
      </w:r>
      <w:r w:rsidR="00690CAC" w:rsidRPr="009B1FB1">
        <w:t xml:space="preserve">and </w:t>
      </w:r>
      <w:r w:rsidR="007D50A4" w:rsidRPr="009B1FB1">
        <w:t xml:space="preserve">reminding me that adjudicators expected </w:t>
      </w:r>
      <w:r>
        <w:t>claimants</w:t>
      </w:r>
      <w:r w:rsidR="007D50A4" w:rsidRPr="009B1FB1">
        <w:t xml:space="preserve"> to </w:t>
      </w:r>
      <w:r>
        <w:t>provide</w:t>
      </w:r>
      <w:r w:rsidR="007D50A4" w:rsidRPr="009B1FB1">
        <w:t xml:space="preserve"> phys</w:t>
      </w:r>
      <w:r>
        <w:t>ical and psychological evidence</w:t>
      </w:r>
      <w:r w:rsidR="007D50A4" w:rsidRPr="009B1FB1">
        <w:t xml:space="preserve"> as well as </w:t>
      </w:r>
      <w:r>
        <w:t>extensive formal documentation of their claims</w:t>
      </w:r>
      <w:r w:rsidR="007D50A4" w:rsidRPr="009B1FB1">
        <w:t>. “When I was proving my case</w:t>
      </w:r>
      <w:r w:rsidR="00CA3ED6">
        <w:t>,</w:t>
      </w:r>
      <w:r w:rsidR="007D50A4" w:rsidRPr="009B1FB1">
        <w:t xml:space="preserve"> a lot went into it. […] It's not like they only listen to your story and </w:t>
      </w:r>
      <w:r w:rsidR="004A16CB">
        <w:t>close the book!</w:t>
      </w:r>
      <w:r w:rsidR="007D50A4" w:rsidRPr="009B1FB1">
        <w:t xml:space="preserve">” she </w:t>
      </w:r>
      <w:r w:rsidR="004A16CB">
        <w:t>exclaimed</w:t>
      </w:r>
      <w:r>
        <w:t>. A</w:t>
      </w:r>
      <w:r w:rsidR="003D26B5">
        <w:t xml:space="preserve"> while</w:t>
      </w:r>
      <w:r>
        <w:t xml:space="preserve"> later</w:t>
      </w:r>
      <w:r w:rsidR="003D26B5">
        <w:t>, ho</w:t>
      </w:r>
      <w:r>
        <w:t>wever, Julia returned to the discussion to add</w:t>
      </w:r>
      <w:r w:rsidR="003D26B5">
        <w:t>: “But for saying ‘I'm gay’</w:t>
      </w:r>
      <w:r w:rsidR="007D50A4" w:rsidRPr="009B1FB1">
        <w:t xml:space="preserve"> when you’re not? I don't think that's right. I think those who lie, they misuse the system.</w:t>
      </w:r>
      <w:r w:rsidR="003D26B5">
        <w:t>”</w:t>
      </w:r>
    </w:p>
    <w:p w14:paraId="0B048293" w14:textId="021ED1EE" w:rsidR="007D50A4" w:rsidRPr="009B1FB1" w:rsidRDefault="003D26B5" w:rsidP="007358FB">
      <w:pPr>
        <w:pStyle w:val="PoLAR"/>
      </w:pPr>
      <w:r>
        <w:t>A</w:t>
      </w:r>
      <w:r w:rsidR="007D50A4" w:rsidRPr="009B1FB1">
        <w:t xml:space="preserve">nother PLAS client </w:t>
      </w:r>
      <w:r w:rsidR="00A35CAD">
        <w:t>echoed her</w:t>
      </w:r>
      <w:r>
        <w:t xml:space="preserve"> </w:t>
      </w:r>
      <w:r w:rsidR="00A35CAD">
        <w:t>sentiment</w:t>
      </w:r>
      <w:r w:rsidR="007D50A4" w:rsidRPr="009B1FB1">
        <w:t xml:space="preserve">, </w:t>
      </w:r>
      <w:r w:rsidR="00690CAC" w:rsidRPr="009B1FB1">
        <w:t xml:space="preserve">volunteering without prompting in a separate interview </w:t>
      </w:r>
      <w:r w:rsidR="007D50A4" w:rsidRPr="009B1FB1">
        <w:t xml:space="preserve">that anyone who was “lying about being gay” in order to receive </w:t>
      </w:r>
      <w:r w:rsidR="00690CAC" w:rsidRPr="009B1FB1">
        <w:t xml:space="preserve">PLAS </w:t>
      </w:r>
      <w:r w:rsidR="007D50A4" w:rsidRPr="009B1FB1">
        <w:t xml:space="preserve">support was “taking the place of someone who really needs that </w:t>
      </w:r>
      <w:r w:rsidR="007D50A4" w:rsidRPr="009B1FB1">
        <w:lastRenderedPageBreak/>
        <w:t xml:space="preserve">help.” Yet </w:t>
      </w:r>
      <w:r>
        <w:t>she</w:t>
      </w:r>
      <w:r w:rsidR="007D50A4" w:rsidRPr="009B1FB1">
        <w:t>, like Julia, was not really interested i</w:t>
      </w:r>
      <w:r>
        <w:t>n</w:t>
      </w:r>
      <w:r w:rsidR="007D50A4" w:rsidRPr="009B1FB1">
        <w:t xml:space="preserve"> other </w:t>
      </w:r>
      <w:r>
        <w:t>client’s</w:t>
      </w:r>
      <w:r w:rsidR="007D50A4" w:rsidRPr="009B1FB1">
        <w:t xml:space="preserve"> </w:t>
      </w:r>
      <w:r>
        <w:t>romantic</w:t>
      </w:r>
      <w:r w:rsidR="007D50A4" w:rsidRPr="009B1FB1">
        <w:t xml:space="preserve"> lives, telling me: “that’s their business. Like me, I don’t like to tell my story, so wh</w:t>
      </w:r>
      <w:r w:rsidR="00690CAC" w:rsidRPr="009B1FB1">
        <w:t>y would I need to hear theirs?”</w:t>
      </w:r>
    </w:p>
    <w:p w14:paraId="298BF33C" w14:textId="65239D25" w:rsidR="007D50A4" w:rsidRPr="009B1FB1" w:rsidRDefault="00840FE9" w:rsidP="001B3E0D">
      <w:pPr>
        <w:pStyle w:val="PoLAR"/>
      </w:pPr>
      <w:r>
        <w:t xml:space="preserve">PLAS leaders adopted a different </w:t>
      </w:r>
      <w:r w:rsidR="00A35CAD">
        <w:t>stance</w:t>
      </w:r>
      <w:r>
        <w:t xml:space="preserve"> </w:t>
      </w:r>
      <w:r w:rsidR="00A35CAD">
        <w:t>on</w:t>
      </w:r>
      <w:r>
        <w:t xml:space="preserve"> questions of privacy and ambiguity. A</w:t>
      </w:r>
      <w:r w:rsidR="007D50A4" w:rsidRPr="009B1FB1">
        <w:t xml:space="preserve">t speaking events and in its campaign literature, PLAS </w:t>
      </w:r>
      <w:r w:rsidR="00B0054D">
        <w:t xml:space="preserve">assertively </w:t>
      </w:r>
      <w:r>
        <w:t>referenced</w:t>
      </w:r>
      <w:r w:rsidR="007D50A4" w:rsidRPr="009B1FB1">
        <w:t xml:space="preserve"> </w:t>
      </w:r>
      <w:r>
        <w:t xml:space="preserve">its LGBT asylum seeker clients’ </w:t>
      </w:r>
      <w:r w:rsidR="007D50A4" w:rsidRPr="009B1FB1">
        <w:t xml:space="preserve">opposite-sex relationships </w:t>
      </w:r>
      <w:r>
        <w:t xml:space="preserve">“back home” </w:t>
      </w:r>
      <w:r w:rsidR="00690CAC" w:rsidRPr="009B1FB1">
        <w:t>as</w:t>
      </w:r>
      <w:r w:rsidR="007D50A4" w:rsidRPr="009B1FB1">
        <w:t xml:space="preserve"> product</w:t>
      </w:r>
      <w:r w:rsidR="00690CAC" w:rsidRPr="009B1FB1">
        <w:t>s</w:t>
      </w:r>
      <w:r w:rsidR="007D50A4" w:rsidRPr="009B1FB1">
        <w:t xml:space="preserve"> of cultural obligation</w:t>
      </w:r>
      <w:r>
        <w:t>,</w:t>
      </w:r>
      <w:r w:rsidR="00690CAC" w:rsidRPr="009B1FB1">
        <w:t xml:space="preserve"> </w:t>
      </w:r>
      <w:r>
        <w:t>forced marriage, or</w:t>
      </w:r>
      <w:r w:rsidR="007D50A4" w:rsidRPr="009B1FB1">
        <w:t xml:space="preserve"> </w:t>
      </w:r>
      <w:r>
        <w:t xml:space="preserve">individuals’ attempts </w:t>
      </w:r>
      <w:r w:rsidR="007D50A4" w:rsidRPr="009B1FB1">
        <w:t xml:space="preserve">to </w:t>
      </w:r>
      <w:r>
        <w:t>“</w:t>
      </w:r>
      <w:r w:rsidR="007D50A4" w:rsidRPr="009B1FB1">
        <w:t xml:space="preserve">hide </w:t>
      </w:r>
      <w:r>
        <w:t>who they really were.</w:t>
      </w:r>
      <w:r w:rsidR="00DF4BE2" w:rsidRPr="009B1FB1">
        <w:t>”</w:t>
      </w:r>
      <w:r>
        <w:t xml:space="preserve"> Jacques, </w:t>
      </w:r>
      <w:r w:rsidR="007D50A4" w:rsidRPr="009B1FB1">
        <w:t xml:space="preserve">a formerly wealthy businessman from West Africa, </w:t>
      </w:r>
      <w:r>
        <w:t xml:space="preserve">was one such client. </w:t>
      </w:r>
      <w:r w:rsidR="007D50A4" w:rsidRPr="009B1FB1">
        <w:t xml:space="preserve">In public speeches, </w:t>
      </w:r>
      <w:r w:rsidR="00232907">
        <w:t xml:space="preserve">co-authored with </w:t>
      </w:r>
      <w:r w:rsidR="00CA3ED6">
        <w:t xml:space="preserve">PLAS leader </w:t>
      </w:r>
      <w:r w:rsidR="00232907">
        <w:t xml:space="preserve">Marcy, </w:t>
      </w:r>
      <w:r w:rsidR="007D50A4" w:rsidRPr="009B1FB1">
        <w:t xml:space="preserve">Jacques referred to his marriage as “a sham” </w:t>
      </w:r>
      <w:r>
        <w:t xml:space="preserve">and </w:t>
      </w:r>
      <w:r w:rsidR="00CA3ED6">
        <w:t>“a cover for my sexuality.” I</w:t>
      </w:r>
      <w:r w:rsidR="007D50A4" w:rsidRPr="009B1FB1">
        <w:t>n private</w:t>
      </w:r>
      <w:r>
        <w:t>,</w:t>
      </w:r>
      <w:r w:rsidR="007D50A4" w:rsidRPr="009B1FB1">
        <w:t xml:space="preserve"> he displayed an intense affective relationship with his wife, </w:t>
      </w:r>
      <w:r w:rsidR="00CA3ED6">
        <w:t xml:space="preserve">speaking </w:t>
      </w:r>
      <w:r w:rsidR="007D50A4" w:rsidRPr="009B1FB1">
        <w:t>wi</w:t>
      </w:r>
      <w:r>
        <w:t xml:space="preserve">th </w:t>
      </w:r>
      <w:r w:rsidR="00CA3ED6">
        <w:t>her</w:t>
      </w:r>
      <w:r>
        <w:t xml:space="preserve"> daily</w:t>
      </w:r>
      <w:r w:rsidR="00166B94">
        <w:t>,</w:t>
      </w:r>
      <w:r w:rsidR="007D50A4" w:rsidRPr="009B1FB1">
        <w:t xml:space="preserve"> </w:t>
      </w:r>
      <w:r w:rsidR="00B0054D">
        <w:t xml:space="preserve">about </w:t>
      </w:r>
      <w:r w:rsidR="007D50A4" w:rsidRPr="009B1FB1">
        <w:t>their</w:t>
      </w:r>
      <w:r>
        <w:t xml:space="preserve"> children</w:t>
      </w:r>
      <w:r w:rsidR="00B0054D">
        <w:t xml:space="preserve"> and grandchildren and business matters</w:t>
      </w:r>
      <w:r w:rsidR="00DF4BE2" w:rsidRPr="009B1FB1">
        <w:t xml:space="preserve">. </w:t>
      </w:r>
      <w:r>
        <w:t>Jacques</w:t>
      </w:r>
      <w:r w:rsidR="007D50A4" w:rsidRPr="009B1FB1">
        <w:t xml:space="preserve"> was not estranged from his wife, </w:t>
      </w:r>
      <w:r>
        <w:t>who</w:t>
      </w:r>
      <w:r w:rsidR="00DF4BE2" w:rsidRPr="009B1FB1">
        <w:t xml:space="preserve"> had known about his same-sex</w:t>
      </w:r>
      <w:r>
        <w:t>, extra-marital</w:t>
      </w:r>
      <w:r w:rsidR="00DF4BE2" w:rsidRPr="009B1FB1">
        <w:t xml:space="preserve"> relationships for a considerable time</w:t>
      </w:r>
      <w:r>
        <w:t xml:space="preserve"> before they were discovered by the authorities</w:t>
      </w:r>
      <w:r w:rsidR="00232907">
        <w:t>.</w:t>
      </w:r>
      <w:r w:rsidR="007D50A4" w:rsidRPr="009B1FB1">
        <w:t xml:space="preserve"> </w:t>
      </w:r>
      <w:r w:rsidR="00232907">
        <w:t>Their</w:t>
      </w:r>
      <w:r w:rsidR="00DF4BE2" w:rsidRPr="009B1FB1">
        <w:t xml:space="preserve"> </w:t>
      </w:r>
      <w:r w:rsidR="00232907">
        <w:t xml:space="preserve">relationship </w:t>
      </w:r>
      <w:r w:rsidR="007D50A4" w:rsidRPr="009B1FB1">
        <w:t xml:space="preserve">did not </w:t>
      </w:r>
      <w:r w:rsidR="00DF4BE2" w:rsidRPr="009B1FB1">
        <w:t>undermine</w:t>
      </w:r>
      <w:r w:rsidR="00CA3ED6">
        <w:t xml:space="preserve"> </w:t>
      </w:r>
      <w:r w:rsidR="00B0054D">
        <w:t>Jacques’</w:t>
      </w:r>
      <w:r w:rsidR="00CA3ED6">
        <w:t xml:space="preserve"> self-</w:t>
      </w:r>
      <w:r w:rsidR="00B0054D">
        <w:t xml:space="preserve">identification </w:t>
      </w:r>
      <w:r w:rsidR="00CA3ED6">
        <w:t>as</w:t>
      </w:r>
      <w:r w:rsidR="007D50A4" w:rsidRPr="009B1FB1">
        <w:t xml:space="preserve"> </w:t>
      </w:r>
      <w:r w:rsidR="00CA3ED6">
        <w:t>“</w:t>
      </w:r>
      <w:r w:rsidR="007D50A4" w:rsidRPr="009B1FB1">
        <w:t>gay,</w:t>
      </w:r>
      <w:r w:rsidR="00CA3ED6">
        <w:t>”</w:t>
      </w:r>
      <w:r w:rsidR="007D50A4" w:rsidRPr="009B1FB1">
        <w:t xml:space="preserve"> </w:t>
      </w:r>
      <w:r w:rsidR="00232907">
        <w:t xml:space="preserve">but neither was it </w:t>
      </w:r>
      <w:r w:rsidR="007D50A4" w:rsidRPr="009B1FB1">
        <w:t>fully articulated under</w:t>
      </w:r>
      <w:r w:rsidR="00DF4BE2" w:rsidRPr="009B1FB1">
        <w:t xml:space="preserve"> the rubric o</w:t>
      </w:r>
      <w:r w:rsidR="00232907">
        <w:t>f a “sham marriage</w:t>
      </w:r>
      <w:r w:rsidR="007D50A4" w:rsidRPr="009B1FB1">
        <w:t>”</w:t>
      </w:r>
      <w:r w:rsidR="00B0054D">
        <w:t xml:space="preserve"> </w:t>
      </w:r>
      <w:r w:rsidR="00232907">
        <w:t>eager</w:t>
      </w:r>
      <w:r w:rsidR="00B0054D">
        <w:t>ly left behind</w:t>
      </w:r>
      <w:r w:rsidR="00232907">
        <w:t>.</w:t>
      </w:r>
      <w:r w:rsidR="00DF4BE2" w:rsidRPr="009B1FB1">
        <w:t xml:space="preserve"> </w:t>
      </w:r>
      <w:r w:rsidR="00232907">
        <w:t>Around PLAS leadership, however, Jacques was careful to stick to his script.</w:t>
      </w:r>
    </w:p>
    <w:p w14:paraId="0E31AE03" w14:textId="22508789" w:rsidR="007D50A4" w:rsidRPr="009B1FB1" w:rsidRDefault="00A740DC" w:rsidP="007358FB">
      <w:pPr>
        <w:pStyle w:val="PoLAR"/>
      </w:pPr>
      <w:r w:rsidRPr="009B1FB1">
        <w:lastRenderedPageBreak/>
        <w:t xml:space="preserve">Sadia, an </w:t>
      </w:r>
      <w:r w:rsidR="007D50A4" w:rsidRPr="009B1FB1">
        <w:t>Iranian asylee</w:t>
      </w:r>
      <w:r w:rsidRPr="009B1FB1">
        <w:t xml:space="preserve"> </w:t>
      </w:r>
      <w:r w:rsidR="009B502F">
        <w:t>who self-identified</w:t>
      </w:r>
      <w:r w:rsidR="00DF4BE2" w:rsidRPr="009B1FB1">
        <w:t xml:space="preserve"> as bisexual</w:t>
      </w:r>
      <w:r w:rsidR="009B502F">
        <w:t>, told me matter-of-factly that she only selectively disclosed her sexuality, and was particular</w:t>
      </w:r>
      <w:r w:rsidR="00CA3ED6">
        <w:t>ly cautious around “old friends</w:t>
      </w:r>
      <w:r w:rsidR="009B502F">
        <w:t>”</w:t>
      </w:r>
      <w:r w:rsidR="00CA3ED6">
        <w:t xml:space="preserve"> who had supported her through the asylum process.</w:t>
      </w:r>
      <w:r w:rsidR="009B502F">
        <w:t xml:space="preserve"> </w:t>
      </w:r>
      <w:r w:rsidR="00CA3ED6">
        <w:t>Then, s</w:t>
      </w:r>
      <w:r w:rsidR="00622ADD">
        <w:t>he</w:t>
      </w:r>
      <w:r w:rsidR="009B502F">
        <w:t xml:space="preserve"> had been in a relationship with a woman, and had followed her attorney’s advice to </w:t>
      </w:r>
      <w:r w:rsidR="00CA3ED6">
        <w:t>identify as</w:t>
      </w:r>
      <w:r w:rsidR="009B502F">
        <w:t xml:space="preserve"> lesbian, rather than bisexual, to avoid a “risky” complication. A year after receiving asylum, </w:t>
      </w:r>
      <w:r w:rsidR="007D50A4" w:rsidRPr="009B1FB1">
        <w:t xml:space="preserve">Sadia </w:t>
      </w:r>
      <w:r w:rsidR="009B502F">
        <w:t xml:space="preserve">began </w:t>
      </w:r>
      <w:r w:rsidR="007D50A4" w:rsidRPr="009B1FB1">
        <w:t xml:space="preserve">a new, </w:t>
      </w:r>
      <w:r w:rsidR="00622ADD">
        <w:t>serious relati</w:t>
      </w:r>
      <w:r w:rsidR="00CA3ED6">
        <w:t>onship with a man. T</w:t>
      </w:r>
      <w:r w:rsidR="00622ADD">
        <w:t xml:space="preserve">hey </w:t>
      </w:r>
      <w:r w:rsidR="007D50A4" w:rsidRPr="009B1FB1">
        <w:t xml:space="preserve">decided to move </w:t>
      </w:r>
      <w:r w:rsidR="00622ADD">
        <w:t xml:space="preserve">to a new </w:t>
      </w:r>
      <w:r w:rsidR="007D50A4" w:rsidRPr="009B1FB1">
        <w:t>city</w:t>
      </w:r>
      <w:r w:rsidR="00CA3ED6">
        <w:t xml:space="preserve"> because Sadia feared</w:t>
      </w:r>
      <w:r w:rsidR="00622ADD">
        <w:t xml:space="preserve"> </w:t>
      </w:r>
      <w:r w:rsidR="00CA3ED6">
        <w:t>her former supporters</w:t>
      </w:r>
      <w:r w:rsidR="00622ADD">
        <w:t xml:space="preserve"> would “tell the authorities” </w:t>
      </w:r>
      <w:r w:rsidR="005737DA">
        <w:t>if they discovered the</w:t>
      </w:r>
      <w:r w:rsidR="00534A99">
        <w:t xml:space="preserve"> relationship, </w:t>
      </w:r>
      <w:r w:rsidR="00622ADD">
        <w:t>and that it would “</w:t>
      </w:r>
      <w:r w:rsidR="007D50A4" w:rsidRPr="009B1FB1">
        <w:t>look like I lied</w:t>
      </w:r>
      <w:r w:rsidR="00622ADD">
        <w:t>, like, that I committed fraud.”</w:t>
      </w:r>
      <w:r w:rsidR="00B0054D">
        <w:t xml:space="preserve"> </w:t>
      </w:r>
      <w:r w:rsidR="00622ADD">
        <w:t>Despite her anxieties</w:t>
      </w:r>
      <w:r w:rsidR="007D50A4" w:rsidRPr="009B1FB1">
        <w:t xml:space="preserve">, </w:t>
      </w:r>
      <w:r w:rsidR="00737E7C" w:rsidRPr="009B1FB1">
        <w:t>Sadia</w:t>
      </w:r>
      <w:r w:rsidR="007D50A4" w:rsidRPr="009B1FB1">
        <w:t xml:space="preserve"> </w:t>
      </w:r>
      <w:r w:rsidR="00534A99">
        <w:t>was</w:t>
      </w:r>
      <w:r w:rsidR="007D50A4" w:rsidRPr="009B1FB1">
        <w:t xml:space="preserve"> </w:t>
      </w:r>
      <w:r w:rsidR="00534A99">
        <w:t xml:space="preserve">heavily </w:t>
      </w:r>
      <w:r w:rsidR="007D50A4" w:rsidRPr="009B1FB1">
        <w:t>involved in bisexual visibility campaigns and community groups online</w:t>
      </w:r>
      <w:r w:rsidR="00534A99">
        <w:t>—albeit not under her full name.</w:t>
      </w:r>
      <w:r w:rsidR="00622ADD">
        <w:t xml:space="preserve"> </w:t>
      </w:r>
      <w:r w:rsidR="005737DA">
        <w:t>She explained:</w:t>
      </w:r>
    </w:p>
    <w:p w14:paraId="0760F437" w14:textId="38A948AE" w:rsidR="007D50A4" w:rsidRPr="009B1FB1" w:rsidRDefault="007D50A4" w:rsidP="00622ADD">
      <w:pPr>
        <w:pStyle w:val="Quote"/>
      </w:pPr>
      <w:r w:rsidRPr="009B1FB1">
        <w:t>Like, I’m proud to say I am a bisexual woman, and I think that it</w:t>
      </w:r>
      <w:r w:rsidR="00166B94">
        <w:t>’</w:t>
      </w:r>
      <w:r w:rsidRPr="009B1FB1">
        <w:t>s important that people recognize bisexuality, and how the asylum system doesn’t have room for that, just like LGBT communities have a problem with bisexuality, even though they have it in their names. But right now</w:t>
      </w:r>
      <w:r w:rsidR="00166B94">
        <w:t>,</w:t>
      </w:r>
      <w:r w:rsidRPr="009B1FB1">
        <w:t xml:space="preserve"> I still have to be careful, because I can’t just be an out and proud bisexual when it could get me sent back [to Iran].</w:t>
      </w:r>
    </w:p>
    <w:p w14:paraId="4D7447F0" w14:textId="066C4640" w:rsidR="007358FB" w:rsidRDefault="00C85345" w:rsidP="007358FB">
      <w:pPr>
        <w:pStyle w:val="PoLAR"/>
      </w:pPr>
      <w:r>
        <w:lastRenderedPageBreak/>
        <w:t xml:space="preserve">As bisexuals’ asylum claims are routinely rejected by U.S. adjudicators (Rehaag 2009), Sadia anxieties were well-founded. </w:t>
      </w:r>
      <w:r w:rsidR="005737DA">
        <w:t xml:space="preserve">Notably, </w:t>
      </w:r>
      <w:r w:rsidR="00A11FD7">
        <w:t xml:space="preserve">she </w:t>
      </w:r>
      <w:r w:rsidR="005737DA">
        <w:t>did not differentiate between USCIS and her former community-based supporters when articulating her fear of discovery.</w:t>
      </w:r>
    </w:p>
    <w:p w14:paraId="2D858439" w14:textId="6275BC7E" w:rsidR="007D50A4" w:rsidRPr="007358FB" w:rsidRDefault="00E66F8F" w:rsidP="000214D5">
      <w:pPr>
        <w:pStyle w:val="PoLAR"/>
        <w:outlineLvl w:val="0"/>
        <w:rPr>
          <w:i/>
        </w:rPr>
      </w:pPr>
      <w:r w:rsidRPr="007358FB">
        <w:rPr>
          <w:i/>
        </w:rPr>
        <w:t>Compulsory Disclosure</w:t>
      </w:r>
    </w:p>
    <w:p w14:paraId="762E58EB" w14:textId="2CBE5E54" w:rsidR="007D50A4" w:rsidRPr="009B1FB1" w:rsidRDefault="007D50A4" w:rsidP="007358FB">
      <w:pPr>
        <w:pStyle w:val="PoLAR"/>
      </w:pPr>
      <w:r w:rsidRPr="009B1FB1">
        <w:t xml:space="preserve">A client not being “out,” or </w:t>
      </w:r>
      <w:r w:rsidR="005737DA">
        <w:t>being</w:t>
      </w:r>
      <w:r w:rsidRPr="009B1FB1">
        <w:t xml:space="preserve"> </w:t>
      </w:r>
      <w:r w:rsidR="005737DA">
        <w:t>hesitant</w:t>
      </w:r>
      <w:r w:rsidRPr="009B1FB1">
        <w:t xml:space="preserve"> to openly and publicly disclose their sexuality</w:t>
      </w:r>
      <w:r w:rsidR="00874ADD">
        <w:t>,</w:t>
      </w:r>
      <w:r w:rsidRPr="009B1FB1">
        <w:t xml:space="preserve"> </w:t>
      </w:r>
      <w:r w:rsidR="00E154DD">
        <w:t xml:space="preserve">also </w:t>
      </w:r>
      <w:r w:rsidR="00737E7C" w:rsidRPr="009B1FB1">
        <w:t>caused consternation at PLAS</w:t>
      </w:r>
      <w:r w:rsidR="009F353E">
        <w:t>—</w:t>
      </w:r>
      <w:r w:rsidR="005737DA">
        <w:t>as</w:t>
      </w:r>
      <w:r w:rsidR="009F353E">
        <w:t xml:space="preserve"> </w:t>
      </w:r>
      <w:r w:rsidR="005737DA">
        <w:t>it does</w:t>
      </w:r>
      <w:r w:rsidR="004E0406">
        <w:t xml:space="preserve"> in USCIS interview rooms</w:t>
      </w:r>
      <w:r w:rsidR="005737DA">
        <w:t xml:space="preserve"> (</w:t>
      </w:r>
      <w:r w:rsidR="00DC70BB">
        <w:t>Morgan 2006; Murray 2016</w:t>
      </w:r>
      <w:r w:rsidR="005737DA">
        <w:t>)</w:t>
      </w:r>
      <w:r w:rsidR="00737E7C" w:rsidRPr="009B1FB1">
        <w:t>.</w:t>
      </w:r>
      <w:r w:rsidRPr="009B1FB1">
        <w:t xml:space="preserve"> </w:t>
      </w:r>
      <w:r w:rsidR="004E0406">
        <w:t>At PLAS, b</w:t>
      </w:r>
      <w:r w:rsidR="00737E7C" w:rsidRPr="009B1FB1">
        <w:t xml:space="preserve">eing “in the closet” </w:t>
      </w:r>
      <w:r w:rsidRPr="009B1FB1">
        <w:t>was</w:t>
      </w:r>
      <w:r w:rsidR="004E0406">
        <w:t xml:space="preserve"> </w:t>
      </w:r>
      <w:r w:rsidR="009F353E">
        <w:t xml:space="preserve">habitually explained </w:t>
      </w:r>
      <w:r w:rsidR="00737E7C" w:rsidRPr="009B1FB1">
        <w:t>as</w:t>
      </w:r>
      <w:r w:rsidRPr="009B1FB1">
        <w:t xml:space="preserve"> a product of </w:t>
      </w:r>
      <w:r w:rsidR="009F353E">
        <w:t>self-hatred</w:t>
      </w:r>
      <w:r w:rsidRPr="009B1FB1">
        <w:t xml:space="preserve"> or shame on t</w:t>
      </w:r>
      <w:r w:rsidR="00737E7C" w:rsidRPr="009B1FB1">
        <w:t>he</w:t>
      </w:r>
      <w:r w:rsidR="009F353E">
        <w:t xml:space="preserve"> part of the asylum seeker. It was discussed as</w:t>
      </w:r>
      <w:r w:rsidR="00737E7C" w:rsidRPr="009B1FB1">
        <w:t xml:space="preserve"> an obstac</w:t>
      </w:r>
      <w:r w:rsidR="00F65FCC" w:rsidRPr="009B1FB1">
        <w:t xml:space="preserve">le </w:t>
      </w:r>
      <w:r w:rsidR="009F353E">
        <w:t>to</w:t>
      </w:r>
      <w:r w:rsidR="004E0406">
        <w:t xml:space="preserve"> </w:t>
      </w:r>
      <w:r w:rsidR="00F65FCC" w:rsidRPr="009B1FB1">
        <w:t>be overcome</w:t>
      </w:r>
      <w:r w:rsidR="009F353E">
        <w:t xml:space="preserve">, </w:t>
      </w:r>
      <w:r w:rsidR="004E0406">
        <w:t xml:space="preserve">in order </w:t>
      </w:r>
      <w:r w:rsidR="003F7175">
        <w:t xml:space="preserve">not only </w:t>
      </w:r>
      <w:r w:rsidR="004E0406">
        <w:t xml:space="preserve">to </w:t>
      </w:r>
      <w:r w:rsidR="00E154DD">
        <w:t xml:space="preserve">gain asylum </w:t>
      </w:r>
      <w:r w:rsidR="003F7175">
        <w:t>but also</w:t>
      </w:r>
      <w:r w:rsidR="00E154DD">
        <w:t>—</w:t>
      </w:r>
      <w:r w:rsidR="004E0406">
        <w:t>according</w:t>
      </w:r>
      <w:r w:rsidR="00E154DD">
        <w:t xml:space="preserve"> </w:t>
      </w:r>
      <w:r w:rsidR="004E0406">
        <w:t xml:space="preserve">to </w:t>
      </w:r>
      <w:r w:rsidR="00E154DD">
        <w:t>Marcy—</w:t>
      </w:r>
      <w:r w:rsidR="004E0406">
        <w:t>to be “true” to oneself</w:t>
      </w:r>
      <w:r w:rsidR="00F65FCC" w:rsidRPr="009B1FB1">
        <w:t>.</w:t>
      </w:r>
      <w:r w:rsidRPr="009B1FB1">
        <w:t xml:space="preserve"> </w:t>
      </w:r>
      <w:r w:rsidR="009365E3">
        <w:t xml:space="preserve">As such, </w:t>
      </w:r>
      <w:r w:rsidRPr="009B1FB1">
        <w:t>Marcy</w:t>
      </w:r>
      <w:r w:rsidR="00F65FCC" w:rsidRPr="009B1FB1">
        <w:t xml:space="preserve"> expressed dismay over those </w:t>
      </w:r>
      <w:r w:rsidR="004E0406">
        <w:t xml:space="preserve">PLAS clients </w:t>
      </w:r>
      <w:r w:rsidR="00F65FCC" w:rsidRPr="009B1FB1">
        <w:t xml:space="preserve">who chose to </w:t>
      </w:r>
      <w:r w:rsidR="004E0406">
        <w:t>maintain ties to fellow nationals in the diaspora</w:t>
      </w:r>
      <w:r w:rsidRPr="009B1FB1">
        <w:t>:</w:t>
      </w:r>
    </w:p>
    <w:p w14:paraId="4B6B8053" w14:textId="17D92E63" w:rsidR="007D50A4" w:rsidRPr="009B1FB1" w:rsidRDefault="004E0406" w:rsidP="004E0406">
      <w:pPr>
        <w:pStyle w:val="Quote"/>
      </w:pPr>
      <w:r>
        <w:t>You know… it’s their decision where they want to live and how they want to live. Some of the things that we’ve found is that, if they’re not out to themselves… Which, i</w:t>
      </w:r>
      <w:r w:rsidR="007D50A4" w:rsidRPr="004E0406">
        <w:t>f you were a woman in Africa, you would never say</w:t>
      </w:r>
      <w:r>
        <w:t>:</w:t>
      </w:r>
      <w:r w:rsidR="007D50A4" w:rsidRPr="004E0406">
        <w:t xml:space="preserve"> “I. Am. Lesbian.”</w:t>
      </w:r>
      <w:r w:rsidR="007D50A4" w:rsidRPr="009B1FB1">
        <w:t xml:space="preserve"> You would never say that. So, getting them to learn how to be out is really important.</w:t>
      </w:r>
    </w:p>
    <w:p w14:paraId="4EE0295F" w14:textId="37FD68A2" w:rsidR="008E21CA" w:rsidRDefault="007D50A4" w:rsidP="007358FB">
      <w:pPr>
        <w:pStyle w:val="PoLAR"/>
      </w:pPr>
      <w:r w:rsidRPr="009B1FB1">
        <w:lastRenderedPageBreak/>
        <w:t>Marcy</w:t>
      </w:r>
      <w:r w:rsidR="004E0406">
        <w:t>’s words</w:t>
      </w:r>
      <w:r w:rsidRPr="009B1FB1">
        <w:t xml:space="preserve"> </w:t>
      </w:r>
      <w:r w:rsidR="004E0406">
        <w:t>evoke</w:t>
      </w:r>
      <w:r w:rsidRPr="009B1FB1">
        <w:t xml:space="preserve"> a spatial framework of where</w:t>
      </w:r>
      <w:r w:rsidR="004E0406">
        <w:t xml:space="preserve"> she perceived</w:t>
      </w:r>
      <w:r w:rsidRPr="009B1FB1">
        <w:t xml:space="preserve"> </w:t>
      </w:r>
      <w:r w:rsidR="004E0406">
        <w:t xml:space="preserve">it was </w:t>
      </w:r>
      <w:r w:rsidRPr="009B1FB1">
        <w:t xml:space="preserve">safe to be “out,” </w:t>
      </w:r>
      <w:r w:rsidR="00AC6C41">
        <w:t>configuring</w:t>
      </w:r>
      <w:r w:rsidRPr="009B1FB1">
        <w:t xml:space="preserve"> </w:t>
      </w:r>
      <w:r w:rsidR="00AC6C41">
        <w:t xml:space="preserve">“Africa” as </w:t>
      </w:r>
      <w:r w:rsidR="008B2973">
        <w:t xml:space="preserve">a place where </w:t>
      </w:r>
      <w:r w:rsidR="00AC6C41">
        <w:t xml:space="preserve">LGBT people </w:t>
      </w:r>
      <w:r w:rsidR="008B2973">
        <w:t>are</w:t>
      </w:r>
      <w:r w:rsidR="00D36E9D" w:rsidRPr="009B1FB1">
        <w:t xml:space="preserve"> </w:t>
      </w:r>
      <w:r w:rsidR="008B2973">
        <w:t>un</w:t>
      </w:r>
      <w:r w:rsidR="00D36E9D" w:rsidRPr="009B1FB1">
        <w:t xml:space="preserve">able </w:t>
      </w:r>
      <w:r w:rsidR="008B2973">
        <w:t xml:space="preserve">even </w:t>
      </w:r>
      <w:r w:rsidR="00D36E9D" w:rsidRPr="009B1FB1">
        <w:t>to articulate their sexuality</w:t>
      </w:r>
      <w:r w:rsidRPr="009B1FB1">
        <w:t xml:space="preserve">. </w:t>
      </w:r>
      <w:r w:rsidR="008B2973">
        <w:t>Despite knowing</w:t>
      </w:r>
      <w:r w:rsidR="00D36E9D" w:rsidRPr="009B1FB1">
        <w:t xml:space="preserve"> </w:t>
      </w:r>
      <w:r w:rsidR="008B2973">
        <w:t>multiple</w:t>
      </w:r>
      <w:r w:rsidR="00D36E9D" w:rsidRPr="009B1FB1">
        <w:t xml:space="preserve"> outspoken LGBT activists who had been highly visible in their </w:t>
      </w:r>
      <w:r w:rsidR="008B2973">
        <w:t>home countries</w:t>
      </w:r>
      <w:r w:rsidR="004E0406">
        <w:t xml:space="preserve">, </w:t>
      </w:r>
      <w:r w:rsidR="008B2973">
        <w:t>Marcy</w:t>
      </w:r>
      <w:r w:rsidR="004E0406">
        <w:t xml:space="preserve"> repeatedly framed PLAS’ work as “helping” LGBT asylum seekers to be</w:t>
      </w:r>
      <w:r w:rsidR="006031BA">
        <w:t xml:space="preserve"> out</w:t>
      </w:r>
      <w:r w:rsidR="003F7175">
        <w:t>,</w:t>
      </w:r>
      <w:r w:rsidR="008B2973">
        <w:t xml:space="preserve"> “to themselves” and publicly</w:t>
      </w:r>
      <w:r w:rsidR="004E0406">
        <w:t>.</w:t>
      </w:r>
      <w:r w:rsidR="00D36E9D" w:rsidRPr="009B1FB1">
        <w:t xml:space="preserve"> </w:t>
      </w:r>
    </w:p>
    <w:p w14:paraId="6ABA163C" w14:textId="13AB2E4D" w:rsidR="008E21CA" w:rsidRPr="009B1FB1" w:rsidRDefault="008E21CA" w:rsidP="008E21CA">
      <w:pPr>
        <w:pStyle w:val="PoLAR"/>
      </w:pPr>
      <w:r>
        <w:t>She regularly outed PLAS clients</w:t>
      </w:r>
      <w:r w:rsidRPr="009B1FB1">
        <w:t xml:space="preserve"> </w:t>
      </w:r>
      <w:r>
        <w:t>without their consent, justifying her actions</w:t>
      </w:r>
      <w:r w:rsidRPr="009B1FB1">
        <w:t xml:space="preserve"> </w:t>
      </w:r>
      <w:r>
        <w:t>through an</w:t>
      </w:r>
      <w:r w:rsidRPr="009B1FB1">
        <w:t xml:space="preserve"> </w:t>
      </w:r>
      <w:r>
        <w:t xml:space="preserve">assertive </w:t>
      </w:r>
      <w:r w:rsidRPr="009B1FB1">
        <w:t xml:space="preserve">moral geographic mapping of the United States </w:t>
      </w:r>
      <w:r w:rsidRPr="009B1FB1">
        <w:rPr>
          <w:i/>
        </w:rPr>
        <w:t xml:space="preserve">vis-à-vis </w:t>
      </w:r>
      <w:r w:rsidRPr="009B1FB1">
        <w:t>clients’ countries of origin</w:t>
      </w:r>
      <w:r>
        <w:t xml:space="preserve">. </w:t>
      </w:r>
      <w:r w:rsidRPr="009B1FB1">
        <w:t xml:space="preserve">As Katie recounted, </w:t>
      </w:r>
      <w:r>
        <w:t>recalling</w:t>
      </w:r>
      <w:r w:rsidRPr="009B1FB1">
        <w:t xml:space="preserve"> a social event</w:t>
      </w:r>
      <w:r>
        <w:t xml:space="preserve"> that she had attended with the PLAS leader</w:t>
      </w:r>
      <w:r w:rsidRPr="009B1FB1">
        <w:t>:</w:t>
      </w:r>
    </w:p>
    <w:p w14:paraId="7FF3EECF" w14:textId="46D39B34" w:rsidR="008E21CA" w:rsidRPr="009B1FB1" w:rsidRDefault="008E21CA" w:rsidP="008E21CA">
      <w:pPr>
        <w:pStyle w:val="Quote"/>
      </w:pPr>
      <w:r w:rsidRPr="009B1FB1">
        <w:t xml:space="preserve">I'm like, "Marcy, why did you have to tell them [people </w:t>
      </w:r>
      <w:r>
        <w:t>at the event</w:t>
      </w:r>
      <w:r w:rsidRPr="009B1FB1">
        <w:t>] that I'm a lesbian?" She's like, "Aren't you a lesbian?" I was like, "Y</w:t>
      </w:r>
      <w:r w:rsidR="00AB4AF3">
        <w:t xml:space="preserve">es, but you don't have to go and </w:t>
      </w:r>
      <w:r w:rsidR="00AB4AF3">
        <w:t>tell</w:t>
      </w:r>
      <w:r w:rsidRPr="009B1FB1">
        <w:t xml:space="preserve"> everybody that I'm </w:t>
      </w:r>
      <w:r>
        <w:t>‘</w:t>
      </w:r>
      <w:r w:rsidRPr="009B1FB1">
        <w:t>a lesbian from Kenya</w:t>
      </w:r>
      <w:r>
        <w:t>’</w:t>
      </w:r>
      <w:r w:rsidRPr="009B1FB1">
        <w:t xml:space="preserve">" and she's like, "Oh Katie, they're not going to do anything to you. </w:t>
      </w:r>
      <w:r w:rsidRPr="009B1FB1">
        <w:t xml:space="preserve">This is America. You're safe." </w:t>
      </w:r>
    </w:p>
    <w:p w14:paraId="7626C74A" w14:textId="624F3819" w:rsidR="007D50A4" w:rsidRPr="009B1FB1" w:rsidRDefault="00D33392" w:rsidP="007358FB">
      <w:pPr>
        <w:pStyle w:val="PoLAR"/>
      </w:pPr>
      <w:r>
        <w:t xml:space="preserve">Marcy’s insistence can be read as </w:t>
      </w:r>
      <w:r w:rsidRPr="009B1FB1">
        <w:t>a</w:t>
      </w:r>
      <w:r>
        <w:t>n</w:t>
      </w:r>
      <w:r w:rsidRPr="009B1FB1">
        <w:t xml:space="preserve"> attempt to </w:t>
      </w:r>
      <w:r>
        <w:t>reassure herself, and others, that the United States is</w:t>
      </w:r>
      <w:r w:rsidRPr="000615F0">
        <w:t xml:space="preserve"> </w:t>
      </w:r>
      <w:r>
        <w:t xml:space="preserve">a “safe” place for LGBT people—in contrast with those countries she imagined, and evoked, as inherently homophobic. This </w:t>
      </w:r>
      <w:r>
        <w:lastRenderedPageBreak/>
        <w:t xml:space="preserve">“homonormative nationalist,” or “homonationalist” (Puar 2007) framing justifies grants of asylum to LGBT claimants by asserting their need for protection. It also pathologizes particular, non-Western nations—and their other, non-LGBT citizens—as dangerously backwards. This </w:t>
      </w:r>
      <w:r w:rsidR="000A2F29">
        <w:t xml:space="preserve">maneuver </w:t>
      </w:r>
      <w:r>
        <w:t xml:space="preserve">effectively re-inscribes the spectral masculine, agentive, “unsympathetic” asylum seeker as a threat to the liberal nation—justifying their exclusion. </w:t>
      </w:r>
      <w:r w:rsidR="008E21CA">
        <w:t>Marcy’s</w:t>
      </w:r>
      <w:r w:rsidR="000615F0">
        <w:t xml:space="preserve"> </w:t>
      </w:r>
      <w:r w:rsidR="008E21CA">
        <w:t xml:space="preserve">views on disclosure did not reflect that </w:t>
      </w:r>
      <w:r w:rsidR="004E0406">
        <w:t>of</w:t>
      </w:r>
      <w:r w:rsidR="007D50A4" w:rsidRPr="009B1FB1">
        <w:t xml:space="preserve"> </w:t>
      </w:r>
      <w:r w:rsidR="004E0406">
        <w:t xml:space="preserve">many </w:t>
      </w:r>
      <w:r w:rsidR="007D50A4" w:rsidRPr="009B1FB1">
        <w:t xml:space="preserve">PLAS </w:t>
      </w:r>
      <w:r>
        <w:t>clients</w:t>
      </w:r>
      <w:r w:rsidR="008E21CA">
        <w:t>,</w:t>
      </w:r>
      <w:r w:rsidR="004E0406">
        <w:t xml:space="preserve"> </w:t>
      </w:r>
      <w:r w:rsidR="009365E3">
        <w:t>a</w:t>
      </w:r>
      <w:r w:rsidR="000D5994">
        <w:t xml:space="preserve">s </w:t>
      </w:r>
      <w:r w:rsidR="007D50A4" w:rsidRPr="009B1FB1">
        <w:t>Josephine</w:t>
      </w:r>
      <w:r w:rsidR="00F65FCC" w:rsidRPr="009B1FB1">
        <w:t>, an asylee from Uganda,</w:t>
      </w:r>
      <w:r w:rsidR="007D50A4" w:rsidRPr="009B1FB1">
        <w:t xml:space="preserve"> </w:t>
      </w:r>
      <w:r w:rsidR="009365E3">
        <w:t>explained</w:t>
      </w:r>
      <w:r w:rsidR="007D50A4" w:rsidRPr="009B1FB1">
        <w:t>:</w:t>
      </w:r>
    </w:p>
    <w:p w14:paraId="5C76B4ED" w14:textId="49130E34" w:rsidR="007D50A4" w:rsidRPr="009B1FB1" w:rsidRDefault="000D5994" w:rsidP="000D5994">
      <w:pPr>
        <w:pStyle w:val="Quote"/>
      </w:pPr>
      <w:r>
        <w:t>To</w:t>
      </w:r>
      <w:r w:rsidR="007D50A4" w:rsidRPr="009B1FB1">
        <w:t xml:space="preserve"> be honest with you, I think this asylum thing kind of forced me to come out, because of the way it is really, but I felt like I wasn't doing it on my own pace. If I'm to do it on my own pace, at this point I'm just happy taking one day at a time, because I believe in my heart that whatever my sexuality is, is not anybody's business. So… will I come out in the future? Yeah, but, that depends on, like if I have a girlfriend and what they decide to do. It's very hard to be with someone who is out and you're not. Yeah, but, I’ll make that decision when I get there. Right now, I'm happy being not out.</w:t>
      </w:r>
    </w:p>
    <w:p w14:paraId="4921C380" w14:textId="47FE721A" w:rsidR="00D36E9D" w:rsidRPr="009B1FB1" w:rsidRDefault="00F65FCC" w:rsidP="007358FB">
      <w:pPr>
        <w:pStyle w:val="PoLAR"/>
      </w:pPr>
      <w:r w:rsidRPr="009B1FB1">
        <w:t>Josephine</w:t>
      </w:r>
      <w:r w:rsidR="007D50A4" w:rsidRPr="009B1FB1">
        <w:t xml:space="preserve"> disclosed on a need to know basis—and </w:t>
      </w:r>
      <w:r w:rsidR="008B2973">
        <w:t>felt</w:t>
      </w:r>
      <w:r w:rsidR="007D50A4" w:rsidRPr="009B1FB1">
        <w:t xml:space="preserve"> that </w:t>
      </w:r>
      <w:r w:rsidR="008B2973">
        <w:t xml:space="preserve">people </w:t>
      </w:r>
      <w:r w:rsidR="007D50A4" w:rsidRPr="009B1FB1">
        <w:t>rarely need</w:t>
      </w:r>
      <w:r w:rsidR="008B2973">
        <w:t>ed</w:t>
      </w:r>
      <w:r w:rsidR="007D50A4" w:rsidRPr="009B1FB1">
        <w:t xml:space="preserve"> to know.</w:t>
      </w:r>
      <w:r w:rsidR="008B2973">
        <w:t xml:space="preserve"> Jose</w:t>
      </w:r>
      <w:r w:rsidR="009365E3">
        <w:t xml:space="preserve">phine and I spent little </w:t>
      </w:r>
      <w:r w:rsidR="008B2973">
        <w:t xml:space="preserve">time </w:t>
      </w:r>
      <w:r w:rsidR="009365E3">
        <w:t>discussing</w:t>
      </w:r>
      <w:r w:rsidR="00D36E9D" w:rsidRPr="009B1FB1">
        <w:t xml:space="preserve"> sexuality, </w:t>
      </w:r>
      <w:r w:rsidR="008B2973">
        <w:t xml:space="preserve">relationships, </w:t>
      </w:r>
      <w:r w:rsidR="00D36E9D" w:rsidRPr="009B1FB1">
        <w:t xml:space="preserve">or </w:t>
      </w:r>
      <w:r w:rsidR="009365E3">
        <w:lastRenderedPageBreak/>
        <w:t xml:space="preserve">the </w:t>
      </w:r>
      <w:r w:rsidR="008B2973">
        <w:t>details of her case</w:t>
      </w:r>
      <w:r w:rsidR="00D36E9D" w:rsidRPr="009B1FB1">
        <w:t xml:space="preserve">. </w:t>
      </w:r>
      <w:r w:rsidR="008B2973">
        <w:t>She</w:t>
      </w:r>
      <w:r w:rsidR="00D36E9D" w:rsidRPr="009B1FB1">
        <w:t xml:space="preserve">, like </w:t>
      </w:r>
      <w:r w:rsidR="009365E3">
        <w:t>all</w:t>
      </w:r>
      <w:r w:rsidR="00D36E9D" w:rsidRPr="009B1FB1">
        <w:t xml:space="preserve"> of my asylum seeker interlocutors, had other things going on</w:t>
      </w:r>
      <w:r w:rsidR="009365E3">
        <w:t xml:space="preserve"> that they felt were</w:t>
      </w:r>
      <w:r w:rsidR="00D36E9D" w:rsidRPr="009B1FB1">
        <w:t xml:space="preserve"> worthy of more attention. </w:t>
      </w:r>
      <w:r w:rsidR="000D5994">
        <w:t xml:space="preserve">She also considered </w:t>
      </w:r>
      <w:r w:rsidR="009365E3">
        <w:t>questioning</w:t>
      </w:r>
      <w:r w:rsidR="008B2973">
        <w:t xml:space="preserve"> </w:t>
      </w:r>
      <w:r w:rsidR="009365E3">
        <w:t>people about their private lives</w:t>
      </w:r>
      <w:r w:rsidR="000D5994">
        <w:t xml:space="preserve"> to be “impolite.” </w:t>
      </w:r>
      <w:r w:rsidR="00D36E9D" w:rsidRPr="009B1FB1">
        <w:t xml:space="preserve">Former PLAS client Harrison echoed </w:t>
      </w:r>
      <w:r w:rsidR="000D5994">
        <w:t>Josephine’s</w:t>
      </w:r>
      <w:r w:rsidR="00D36E9D" w:rsidRPr="009B1FB1">
        <w:t xml:space="preserve"> sentiments</w:t>
      </w:r>
      <w:r w:rsidR="000D5994">
        <w:t>,</w:t>
      </w:r>
      <w:r w:rsidR="00D36E9D" w:rsidRPr="009B1FB1">
        <w:t xml:space="preserve"> </w:t>
      </w:r>
      <w:r w:rsidR="009365E3">
        <w:t>stating</w:t>
      </w:r>
      <w:r w:rsidR="00D36E9D" w:rsidRPr="009B1FB1">
        <w:t xml:space="preserve">: </w:t>
      </w:r>
    </w:p>
    <w:p w14:paraId="1C6C207E" w14:textId="7645C61C" w:rsidR="00D36E9D" w:rsidRPr="009B1FB1" w:rsidRDefault="008B2973" w:rsidP="000D5994">
      <w:pPr>
        <w:pStyle w:val="Quote"/>
      </w:pPr>
      <w:r>
        <w:t>Y</w:t>
      </w:r>
      <w:r w:rsidR="00D36E9D" w:rsidRPr="009B1FB1">
        <w:t>ou won't find me going down the street public d</w:t>
      </w:r>
      <w:r w:rsidR="008E21CA">
        <w:t xml:space="preserve">isplay of </w:t>
      </w:r>
      <w:r w:rsidR="00D36E9D" w:rsidRPr="009B1FB1">
        <w:t xml:space="preserve">affection. For me, my sexuality does not define who I am. […] I've been here since 2007, now I'm much more comfortable, in terms of more settled, but at the same time, I don't walk around with it [that I’m gay] on my forehead. Because </w:t>
      </w:r>
      <w:r w:rsidR="000D5994">
        <w:t>that’s</w:t>
      </w:r>
      <w:r w:rsidR="00D36E9D" w:rsidRPr="009B1FB1">
        <w:t xml:space="preserve"> my business.</w:t>
      </w:r>
    </w:p>
    <w:p w14:paraId="25D0CF41" w14:textId="5A1815CE" w:rsidR="00D33392" w:rsidRDefault="00303F51" w:rsidP="00B72580">
      <w:pPr>
        <w:pStyle w:val="PoLAR"/>
      </w:pPr>
      <w:r>
        <w:t>F</w:t>
      </w:r>
      <w:r w:rsidR="009365E3" w:rsidRPr="00746752">
        <w:t>or Marcy</w:t>
      </w:r>
      <w:r w:rsidR="00E30423" w:rsidRPr="00746752">
        <w:t xml:space="preserve">, </w:t>
      </w:r>
      <w:r>
        <w:t xml:space="preserve">however, </w:t>
      </w:r>
      <w:r w:rsidR="00FC14C8" w:rsidRPr="00746752">
        <w:t xml:space="preserve">public visibility </w:t>
      </w:r>
      <w:r w:rsidR="008E21CA" w:rsidRPr="00746752">
        <w:t>remained</w:t>
      </w:r>
      <w:r w:rsidR="00FC14C8" w:rsidRPr="00746752">
        <w:t xml:space="preserve"> essential. </w:t>
      </w:r>
      <w:r w:rsidR="00D33392">
        <w:rPr>
          <w:color w:val="000000" w:themeColor="text1"/>
        </w:rPr>
        <w:t>Her</w:t>
      </w:r>
      <w:r w:rsidR="004A033E" w:rsidRPr="003B3330">
        <w:rPr>
          <w:color w:val="000000" w:themeColor="text1"/>
        </w:rPr>
        <w:t xml:space="preserve">insistence evokes </w:t>
      </w:r>
      <w:r w:rsidR="00FC14C8">
        <w:t xml:space="preserve">Manolo Guzmán’s </w:t>
      </w:r>
      <w:r w:rsidR="004A033E">
        <w:t>insight</w:t>
      </w:r>
      <w:r w:rsidR="00FC14C8">
        <w:t xml:space="preserve"> that:</w:t>
      </w:r>
      <w:r w:rsidR="00FC14C8" w:rsidRPr="009B1FB1">
        <w:t xml:space="preserve"> “in the discursive context of [hegemonic] gay homosexuality, the love that once dared not speak its name becomes… </w:t>
      </w:r>
      <w:r w:rsidR="00FC14C8">
        <w:rPr>
          <w:i/>
        </w:rPr>
        <w:t>the love that can</w:t>
      </w:r>
      <w:r w:rsidR="00FC14C8" w:rsidRPr="009B1FB1">
        <w:rPr>
          <w:i/>
        </w:rPr>
        <w:t>not stand not being not named</w:t>
      </w:r>
      <w:r w:rsidR="00FC14C8">
        <w:t>” (2006,</w:t>
      </w:r>
      <w:r w:rsidR="00FC14C8" w:rsidRPr="009B1FB1">
        <w:t xml:space="preserve"> 91, emphasis original). </w:t>
      </w:r>
    </w:p>
    <w:p w14:paraId="7D452E47" w14:textId="00933BAF" w:rsidR="00E94349" w:rsidRPr="003B3330" w:rsidRDefault="00FC14C8" w:rsidP="007358FB">
      <w:pPr>
        <w:pStyle w:val="PoLAR"/>
        <w:rPr>
          <w:color w:val="000000" w:themeColor="text1"/>
        </w:rPr>
      </w:pPr>
      <w:r>
        <w:t>I</w:t>
      </w:r>
      <w:r w:rsidRPr="009B1FB1">
        <w:t xml:space="preserve">n his discussion of men of color in the United States who do not </w:t>
      </w:r>
      <w:r>
        <w:t>self-</w:t>
      </w:r>
      <w:r w:rsidRPr="009B1FB1">
        <w:t>identify as gay</w:t>
      </w:r>
      <w:r w:rsidR="005A5416">
        <w:t xml:space="preserve"> or bisexual</w:t>
      </w:r>
      <w:r w:rsidR="00A372AD" w:rsidRPr="00A372AD">
        <w:t xml:space="preserve"> </w:t>
      </w:r>
      <w:r w:rsidR="00A372AD">
        <w:t xml:space="preserve">but </w:t>
      </w:r>
      <w:r w:rsidR="00E94349">
        <w:t>express</w:t>
      </w:r>
      <w:r w:rsidR="00A372AD">
        <w:t xml:space="preserve"> same-sex</w:t>
      </w:r>
      <w:r w:rsidR="00A372AD" w:rsidRPr="009B1FB1">
        <w:t xml:space="preserve"> </w:t>
      </w:r>
      <w:r w:rsidR="00E94349">
        <w:t>desire</w:t>
      </w:r>
      <w:r w:rsidRPr="009B1FB1">
        <w:t xml:space="preserve">, Carlos Decena further </w:t>
      </w:r>
      <w:r w:rsidR="00E67ACB">
        <w:t>identifies</w:t>
      </w:r>
      <w:r w:rsidR="005A5416">
        <w:t xml:space="preserve"> “a</w:t>
      </w:r>
      <w:r w:rsidR="005A5416" w:rsidRPr="009B1FB1">
        <w:t xml:space="preserve"> regime of compulsory disclosure</w:t>
      </w:r>
      <w:r w:rsidR="005A5416">
        <w:t xml:space="preserve">” within the </w:t>
      </w:r>
      <w:r w:rsidR="000F0851">
        <w:t>country</w:t>
      </w:r>
      <w:r w:rsidR="005A5416">
        <w:t xml:space="preserve">, </w:t>
      </w:r>
      <w:r w:rsidR="000F0851">
        <w:t xml:space="preserve">such that </w:t>
      </w:r>
      <w:r w:rsidR="005A5416">
        <w:t>“</w:t>
      </w:r>
      <w:r w:rsidR="005A5416" w:rsidRPr="009B1FB1">
        <w:t>subjects who avoid coming out become a threat to mainstream U.S. society because they refuse regulation</w:t>
      </w:r>
      <w:r w:rsidR="005A5416">
        <w:t>” (2008a, 405</w:t>
      </w:r>
      <w:r w:rsidR="005A5416" w:rsidRPr="00382F4A">
        <w:t>).</w:t>
      </w:r>
      <w:r w:rsidR="005A5416">
        <w:t xml:space="preserve"> </w:t>
      </w:r>
      <w:r w:rsidR="00253D7D">
        <w:t xml:space="preserve">Under this rubric, only out, non-ambiguously gay </w:t>
      </w:r>
      <w:r w:rsidR="00253D7D">
        <w:lastRenderedPageBreak/>
        <w:t xml:space="preserve">people may be considered “ethical sexual citizens.” </w:t>
      </w:r>
      <w:r w:rsidR="00E94349">
        <w:t>Decena’s insight that: “</w:t>
      </w:r>
      <w:r w:rsidR="00E94349" w:rsidRPr="009B1FB1">
        <w:t xml:space="preserve">psychological deficiency, and not political or sexual dissent, </w:t>
      </w:r>
      <w:r w:rsidR="00E94349">
        <w:t>has been</w:t>
      </w:r>
      <w:r w:rsidR="00E94349" w:rsidRPr="009B1FB1">
        <w:t xml:space="preserve"> used to explain the behavior of people who cannot or will not come out</w:t>
      </w:r>
      <w:r w:rsidR="00E94349">
        <w:t>”</w:t>
      </w:r>
      <w:r w:rsidR="00E94349" w:rsidRPr="009B1FB1">
        <w:t xml:space="preserve"> </w:t>
      </w:r>
      <w:r w:rsidR="00E94349">
        <w:t>(2008a, 40</w:t>
      </w:r>
      <w:r w:rsidR="00E94349" w:rsidRPr="00382F4A">
        <w:t>6)</w:t>
      </w:r>
      <w:r w:rsidR="00E94349">
        <w:t xml:space="preserve"> further anticipates Marcy’s attitude toward LGBT asylum </w:t>
      </w:r>
      <w:r w:rsidR="00E94349" w:rsidRPr="008E21CA">
        <w:t>seekers.</w:t>
      </w:r>
      <w:r w:rsidR="00E94349">
        <w:rPr>
          <w:color w:val="FF0000"/>
        </w:rPr>
        <w:t xml:space="preserve"> </w:t>
      </w:r>
    </w:p>
    <w:p w14:paraId="342E8351" w14:textId="0CAD6CB3" w:rsidR="00F82BC5" w:rsidRDefault="00E94349" w:rsidP="007358FB">
      <w:pPr>
        <w:pStyle w:val="PoLAR"/>
      </w:pPr>
      <w:r w:rsidRPr="00E94349">
        <w:t xml:space="preserve">Mark Chaing’s insight that </w:t>
      </w:r>
      <w:r w:rsidR="00A372AD" w:rsidRPr="00E94349">
        <w:t>“desire for both men and women can</w:t>
      </w:r>
      <w:r w:rsidR="002D7AA4">
        <w:t>…</w:t>
      </w:r>
      <w:r w:rsidR="00A372AD" w:rsidRPr="00E94349">
        <w:t xml:space="preserve"> only be narrated as a failure to become fully gay or lesbian, which is also to say fully transnational” (</w:t>
      </w:r>
      <w:r w:rsidRPr="00E94349">
        <w:t>quoted</w:t>
      </w:r>
      <w:r w:rsidR="00A372AD" w:rsidRPr="00E94349">
        <w:t xml:space="preserve"> in Hemmings 2008, </w:t>
      </w:r>
      <w:r>
        <w:t>18) is particularly relevant in the context of asylum</w:t>
      </w:r>
      <w:r w:rsidR="005F2FCA">
        <w:t>.</w:t>
      </w:r>
      <w:r w:rsidR="005A5416">
        <w:t xml:space="preserve"> </w:t>
      </w:r>
      <w:r w:rsidR="00FC4B95">
        <w:t>Because</w:t>
      </w:r>
      <w:r w:rsidR="004759FB">
        <w:t xml:space="preserve"> being out connotes a stable, knowable, exclusively same-sex desiring subjectivity, bisexuality </w:t>
      </w:r>
      <w:r w:rsidR="00FC4B95">
        <w:t xml:space="preserve">is further rendered suspicious—and </w:t>
      </w:r>
      <w:r w:rsidR="004759FB">
        <w:t>dangerously out of step with (homo)nationalist ideals.</w:t>
      </w:r>
    </w:p>
    <w:p w14:paraId="5C560426" w14:textId="0B1A50C4" w:rsidR="00FB6557" w:rsidRPr="00A372AD" w:rsidRDefault="00F01877" w:rsidP="007358FB">
      <w:pPr>
        <w:pStyle w:val="PoLAR"/>
      </w:pPr>
      <w:r>
        <w:t xml:space="preserve">In order to </w:t>
      </w:r>
      <w:r w:rsidRPr="00B87B5C">
        <w:t xml:space="preserve">settle </w:t>
      </w:r>
      <w:r>
        <w:t xml:space="preserve">their </w:t>
      </w:r>
      <w:r w:rsidRPr="00B87B5C">
        <w:t xml:space="preserve">anxieties that the people they support are </w:t>
      </w:r>
      <w:r w:rsidR="002B2BF0">
        <w:t xml:space="preserve">the right type of immigrant—deserving, suitable, </w:t>
      </w:r>
      <w:r w:rsidR="006A0FA6">
        <w:t>unthreatening</w:t>
      </w:r>
      <w:r w:rsidR="002B2BF0">
        <w:t xml:space="preserve">, </w:t>
      </w:r>
      <w:r w:rsidR="006A0FA6">
        <w:t>trustworthy, vulnerable</w:t>
      </w:r>
      <w:r w:rsidR="002B2BF0">
        <w:t>—PLAS</w:t>
      </w:r>
      <w:r w:rsidR="00992E19">
        <w:t xml:space="preserve"> </w:t>
      </w:r>
      <w:r w:rsidR="00B87B5C">
        <w:t>require</w:t>
      </w:r>
      <w:r w:rsidR="007C4830">
        <w:t>d</w:t>
      </w:r>
      <w:r w:rsidR="00992E19">
        <w:t xml:space="preserve"> not only</w:t>
      </w:r>
      <w:r w:rsidR="006A0FA6">
        <w:t xml:space="preserve"> the</w:t>
      </w:r>
      <w:r w:rsidR="00992E19">
        <w:t xml:space="preserve"> </w:t>
      </w:r>
      <w:r w:rsidR="008E21CA">
        <w:t>private disclosure</w:t>
      </w:r>
      <w:r w:rsidR="002B2BF0">
        <w:t xml:space="preserve"> which is </w:t>
      </w:r>
      <w:r w:rsidR="008E21CA">
        <w:t>minimally</w:t>
      </w:r>
      <w:r w:rsidR="005D6E94">
        <w:t xml:space="preserve"> </w:t>
      </w:r>
      <w:r w:rsidR="008E21CA">
        <w:t>ex</w:t>
      </w:r>
      <w:r w:rsidR="002B2BF0">
        <w:t xml:space="preserve">pected in USCIS interview rooms, </w:t>
      </w:r>
      <w:r w:rsidR="007D50A4" w:rsidRPr="009B1FB1">
        <w:t xml:space="preserve">but </w:t>
      </w:r>
      <w:r w:rsidR="00992E19">
        <w:t xml:space="preserve">additional, </w:t>
      </w:r>
      <w:r w:rsidR="00182502" w:rsidRPr="009B1FB1">
        <w:t xml:space="preserve">public </w:t>
      </w:r>
      <w:r w:rsidR="009006BD">
        <w:t>proclamation</w:t>
      </w:r>
      <w:r w:rsidR="005D6E94" w:rsidRPr="00B87B5C">
        <w:t>.</w:t>
      </w:r>
      <w:r>
        <w:t xml:space="preserve"> </w:t>
      </w:r>
      <w:r w:rsidR="002B2BF0">
        <w:t xml:space="preserve">As such, </w:t>
      </w:r>
      <w:r w:rsidR="007C4830">
        <w:t>its work extended</w:t>
      </w:r>
      <w:r>
        <w:t xml:space="preserve"> </w:t>
      </w:r>
      <w:r w:rsidR="007C4830">
        <w:t xml:space="preserve">beyond testing the eligibility of potential asylum seekers, </w:t>
      </w:r>
      <w:r>
        <w:t xml:space="preserve">to </w:t>
      </w:r>
      <w:r w:rsidR="006A0FA6">
        <w:t>assessing</w:t>
      </w:r>
      <w:r w:rsidR="007C4830">
        <w:t xml:space="preserve"> their</w:t>
      </w:r>
      <w:r>
        <w:t xml:space="preserve"> </w:t>
      </w:r>
      <w:r w:rsidR="006A0FA6">
        <w:t xml:space="preserve">apparent </w:t>
      </w:r>
      <w:r w:rsidR="007C4830">
        <w:t>suitability</w:t>
      </w:r>
      <w:r w:rsidRPr="00746752">
        <w:rPr>
          <w:color w:val="000000" w:themeColor="text1"/>
        </w:rPr>
        <w:t xml:space="preserve"> </w:t>
      </w:r>
      <w:r w:rsidR="007C4830">
        <w:rPr>
          <w:color w:val="000000" w:themeColor="text1"/>
        </w:rPr>
        <w:t xml:space="preserve">for </w:t>
      </w:r>
      <w:r>
        <w:rPr>
          <w:color w:val="000000" w:themeColor="text1"/>
        </w:rPr>
        <w:t>U.S. society.</w:t>
      </w:r>
    </w:p>
    <w:p w14:paraId="3D67D115" w14:textId="77777777" w:rsidR="006D47F6" w:rsidRDefault="006D47F6" w:rsidP="007358FB">
      <w:pPr>
        <w:pStyle w:val="PoLAR"/>
        <w:rPr>
          <w:b/>
        </w:rPr>
      </w:pPr>
    </w:p>
    <w:p w14:paraId="78314707" w14:textId="77777777" w:rsidR="007D50A4" w:rsidRPr="007358FB" w:rsidRDefault="007D50A4" w:rsidP="000214D5">
      <w:pPr>
        <w:pStyle w:val="PoLAR"/>
        <w:outlineLvl w:val="0"/>
        <w:rPr>
          <w:b/>
        </w:rPr>
      </w:pPr>
      <w:r w:rsidRPr="007358FB">
        <w:rPr>
          <w:b/>
        </w:rPr>
        <w:lastRenderedPageBreak/>
        <w:t xml:space="preserve">Conclusions </w:t>
      </w:r>
    </w:p>
    <w:p w14:paraId="74C10DD7" w14:textId="1D8BDCC6" w:rsidR="00EA0E29" w:rsidRDefault="004730AE" w:rsidP="001B3E0D">
      <w:pPr>
        <w:pStyle w:val="PoLAR"/>
      </w:pPr>
      <w:r>
        <w:t>I</w:t>
      </w:r>
      <w:r w:rsidR="00D55949" w:rsidRPr="009B1FB1">
        <w:t xml:space="preserve"> have </w:t>
      </w:r>
      <w:r w:rsidR="000F32D3">
        <w:t>shown how</w:t>
      </w:r>
      <w:r w:rsidR="007015A1">
        <w:t xml:space="preserve"> </w:t>
      </w:r>
      <w:r w:rsidR="00D55949">
        <w:t xml:space="preserve">pro bono legal </w:t>
      </w:r>
      <w:r w:rsidR="00FB6557">
        <w:t xml:space="preserve">and specialist NGOs </w:t>
      </w:r>
      <w:r w:rsidR="006A0FA6">
        <w:t xml:space="preserve">frequently </w:t>
      </w:r>
      <w:r w:rsidR="00FB6557">
        <w:t>(re)articulate,</w:t>
      </w:r>
      <w:r w:rsidR="00D55949">
        <w:t xml:space="preserve"> enact</w:t>
      </w:r>
      <w:r w:rsidR="00FB6557">
        <w:t>, and extend</w:t>
      </w:r>
      <w:r w:rsidR="00D55949">
        <w:t xml:space="preserve"> </w:t>
      </w:r>
      <w:r w:rsidR="00FB6557">
        <w:t xml:space="preserve">limited and limiting </w:t>
      </w:r>
      <w:r w:rsidR="00BB5BB4">
        <w:t>governmental</w:t>
      </w:r>
      <w:r>
        <w:t xml:space="preserve"> logics </w:t>
      </w:r>
      <w:r w:rsidR="00680FA2">
        <w:t xml:space="preserve">and </w:t>
      </w:r>
      <w:r w:rsidRPr="004730AE">
        <w:t xml:space="preserve">hegemonic discourses </w:t>
      </w:r>
      <w:r w:rsidR="00FB6557">
        <w:t>concerning</w:t>
      </w:r>
      <w:r w:rsidR="00680FA2">
        <w:t xml:space="preserve"> </w:t>
      </w:r>
      <w:r w:rsidRPr="004730AE">
        <w:t xml:space="preserve">LGBT asylum seekers. </w:t>
      </w:r>
      <w:r w:rsidR="000F32D3">
        <w:t>T</w:t>
      </w:r>
      <w:r w:rsidR="005F34E4">
        <w:t>heir i</w:t>
      </w:r>
      <w:r w:rsidR="00BB5BB4" w:rsidRPr="009B1FB1">
        <w:t xml:space="preserve">nvestments in </w:t>
      </w:r>
      <w:r w:rsidR="008B4963">
        <w:t>homo</w:t>
      </w:r>
      <w:r w:rsidR="00BB5BB4" w:rsidRPr="009B1FB1">
        <w:t>normative, Western-informed ideas about LGBT subjectivity—</w:t>
      </w:r>
      <w:r w:rsidR="008B4963">
        <w:t>particularly</w:t>
      </w:r>
      <w:r w:rsidR="00BB5BB4" w:rsidRPr="009B1FB1">
        <w:t xml:space="preserve"> that sexuality is immutable, and that coming out </w:t>
      </w:r>
      <w:r w:rsidR="008B4963">
        <w:t xml:space="preserve">is </w:t>
      </w:r>
      <w:r w:rsidR="00BB5BB4" w:rsidRPr="009B1FB1">
        <w:t>both necessary and inevitable—</w:t>
      </w:r>
      <w:r w:rsidR="00BB5BB4">
        <w:t>function</w:t>
      </w:r>
      <w:r w:rsidR="00BB5BB4" w:rsidRPr="009B1FB1">
        <w:t xml:space="preserve"> </w:t>
      </w:r>
      <w:r w:rsidR="00BB5BB4">
        <w:t xml:space="preserve">simultaneously </w:t>
      </w:r>
      <w:r w:rsidR="00BB5BB4" w:rsidRPr="005F34E4">
        <w:t xml:space="preserve">to </w:t>
      </w:r>
      <w:r w:rsidR="005F34E4" w:rsidRPr="005F34E4">
        <w:t>regulate</w:t>
      </w:r>
      <w:r w:rsidR="00BB5BB4" w:rsidRPr="005F34E4">
        <w:t xml:space="preserve"> individuals seeking asylum,</w:t>
      </w:r>
      <w:r w:rsidR="00BB5BB4">
        <w:t xml:space="preserve"> </w:t>
      </w:r>
      <w:r w:rsidR="00BB5BB4" w:rsidRPr="009B1FB1">
        <w:t>to reaffirm the</w:t>
      </w:r>
      <w:r w:rsidR="00062BAF">
        <w:t xml:space="preserve"> expectations of USCIS </w:t>
      </w:r>
      <w:r w:rsidR="005F34E4">
        <w:t>o</w:t>
      </w:r>
      <w:r w:rsidR="00BB5BB4" w:rsidRPr="009B1FB1">
        <w:t>f</w:t>
      </w:r>
      <w:r w:rsidR="00BB5BB4">
        <w:t xml:space="preserve">ficers adjudicating </w:t>
      </w:r>
      <w:r w:rsidR="005F34E4">
        <w:t xml:space="preserve">asylum claims, and to reassert homonationalist </w:t>
      </w:r>
      <w:r w:rsidR="008C0993">
        <w:t>imaginaries</w:t>
      </w:r>
      <w:r w:rsidR="005F34E4">
        <w:t xml:space="preserve"> </w:t>
      </w:r>
      <w:r w:rsidR="008C0993">
        <w:t xml:space="preserve">within, and </w:t>
      </w:r>
      <w:r w:rsidR="005F34E4">
        <w:t>of</w:t>
      </w:r>
      <w:r w:rsidR="008C0993">
        <w:t>,</w:t>
      </w:r>
      <w:r w:rsidR="005F34E4">
        <w:t xml:space="preserve"> the United States.</w:t>
      </w:r>
    </w:p>
    <w:p w14:paraId="5DCAA4C0" w14:textId="3BB20E49" w:rsidR="008C0993" w:rsidRDefault="008C0993" w:rsidP="001B3E0D">
      <w:pPr>
        <w:pStyle w:val="PoLAR"/>
      </w:pPr>
      <w:r>
        <w:t xml:space="preserve">These </w:t>
      </w:r>
      <w:r w:rsidR="00B67C2B" w:rsidRPr="007D2E24">
        <w:t>investments</w:t>
      </w:r>
      <w:r w:rsidR="00B67C2B">
        <w:t xml:space="preserve"> </w:t>
      </w:r>
      <w:r>
        <w:t>have a detrimental impact on i</w:t>
      </w:r>
      <w:r w:rsidR="006A0FA6">
        <w:t>ndividual LGBT asylum seekers</w:t>
      </w:r>
      <w:r>
        <w:t>, as</w:t>
      </w:r>
      <w:r w:rsidR="006A0FA6">
        <w:t xml:space="preserve"> </w:t>
      </w:r>
      <w:r>
        <w:t xml:space="preserve">those </w:t>
      </w:r>
      <w:r w:rsidR="006A0FA6">
        <w:t xml:space="preserve">who do not meet service </w:t>
      </w:r>
      <w:r w:rsidR="006A0FA6" w:rsidRPr="009B1FB1">
        <w:t>providers</w:t>
      </w:r>
      <w:r w:rsidR="006A0FA6">
        <w:t>’ expectations or organizational goals</w:t>
      </w:r>
      <w:r w:rsidR="00680FA2" w:rsidRPr="009B1FB1">
        <w:t xml:space="preserve"> </w:t>
      </w:r>
      <w:r>
        <w:t xml:space="preserve">can </w:t>
      </w:r>
      <w:r w:rsidR="00680FA2" w:rsidRPr="009B1FB1">
        <w:t>str</w:t>
      </w:r>
      <w:r w:rsidR="00680FA2">
        <w:t>uggle</w:t>
      </w:r>
      <w:r w:rsidR="00680FA2" w:rsidRPr="009B1FB1">
        <w:t xml:space="preserve"> </w:t>
      </w:r>
      <w:r w:rsidR="00EA0E29">
        <w:t>to</w:t>
      </w:r>
      <w:r w:rsidR="006A0FA6">
        <w:t xml:space="preserve"> secure s</w:t>
      </w:r>
      <w:r w:rsidR="00AB5D55">
        <w:t xml:space="preserve">upport and, consequently, </w:t>
      </w:r>
      <w:r w:rsidR="006A0FA6">
        <w:t>asylum</w:t>
      </w:r>
      <w:r w:rsidR="00BB5BB4">
        <w:t xml:space="preserve">. </w:t>
      </w:r>
      <w:r w:rsidR="00EA0E29">
        <w:t>Those who</w:t>
      </w:r>
      <w:r w:rsidR="00680FA2">
        <w:t xml:space="preserve"> </w:t>
      </w:r>
      <w:r w:rsidR="006A0FA6">
        <w:t xml:space="preserve">do </w:t>
      </w:r>
      <w:r>
        <w:t>obtain</w:t>
      </w:r>
      <w:r w:rsidR="00BB5BB4">
        <w:t xml:space="preserve"> </w:t>
      </w:r>
      <w:r>
        <w:t xml:space="preserve">NGO </w:t>
      </w:r>
      <w:r w:rsidR="00EA0E29">
        <w:t>support</w:t>
      </w:r>
      <w:r w:rsidR="00DA1B17">
        <w:t xml:space="preserve"> may</w:t>
      </w:r>
      <w:r w:rsidR="00BB5BB4">
        <w:t xml:space="preserve"> nonetheless </w:t>
      </w:r>
      <w:r w:rsidR="00680FA2" w:rsidRPr="009B1FB1">
        <w:t>endure ongoing surveillance and suspicion</w:t>
      </w:r>
      <w:r w:rsidR="00DA1B17">
        <w:t xml:space="preserve"> in spaces that are,</w:t>
      </w:r>
      <w:r w:rsidR="00BB5BB4">
        <w:t xml:space="preserve"> ostensibly</w:t>
      </w:r>
      <w:r w:rsidR="00DA1B17">
        <w:t>,</w:t>
      </w:r>
      <w:r w:rsidR="00BB5BB4">
        <w:t xml:space="preserve"> beyond the purview of the S</w:t>
      </w:r>
      <w:r w:rsidR="00680FA2" w:rsidRPr="009B1FB1">
        <w:t>tate</w:t>
      </w:r>
      <w:r w:rsidR="00BB5BB4">
        <w:t>.</w:t>
      </w:r>
      <w:r w:rsidR="00DA1B17" w:rsidRPr="00DA1B17">
        <w:t xml:space="preserve"> </w:t>
      </w:r>
      <w:r w:rsidR="00DA1B17">
        <w:t>I</w:t>
      </w:r>
      <w:r w:rsidR="00DA1B17" w:rsidRPr="009B1FB1">
        <w:t>n order to be fully accepted</w:t>
      </w:r>
      <w:r w:rsidR="00DA1B17">
        <w:t>,</w:t>
      </w:r>
      <w:r w:rsidR="00AB5D55">
        <w:t xml:space="preserve"> as</w:t>
      </w:r>
      <w:r w:rsidR="00DA1B17">
        <w:t xml:space="preserve"> honest, deserving immigrant</w:t>
      </w:r>
      <w:r w:rsidR="00AB5D55">
        <w:t>s</w:t>
      </w:r>
      <w:r w:rsidR="00DA1B17" w:rsidRPr="009B1FB1">
        <w:t xml:space="preserve"> with the potential to become an</w:t>
      </w:r>
      <w:r w:rsidR="00DA1B17">
        <w:t xml:space="preserve"> ethical citizen</w:t>
      </w:r>
      <w:r w:rsidR="008A06BB">
        <w:t>,</w:t>
      </w:r>
      <w:r w:rsidR="00DA1B17" w:rsidRPr="009B1FB1">
        <w:t xml:space="preserve"> LGBT asylum seekers mus</w:t>
      </w:r>
      <w:r w:rsidR="009006BD">
        <w:t xml:space="preserve">t </w:t>
      </w:r>
      <w:r w:rsidR="007015A1">
        <w:t>meet particular expectations which are embedded in neoliberal</w:t>
      </w:r>
      <w:r>
        <w:t>,</w:t>
      </w:r>
      <w:r w:rsidR="007015A1">
        <w:t xml:space="preserve"> homo</w:t>
      </w:r>
      <w:r>
        <w:t xml:space="preserve">normative </w:t>
      </w:r>
      <w:r w:rsidR="007015A1">
        <w:t xml:space="preserve">ideals. </w:t>
      </w:r>
      <w:r>
        <w:t xml:space="preserve">Namely, they must </w:t>
      </w:r>
      <w:r w:rsidR="00B67C2B">
        <w:t>become recognizable</w:t>
      </w:r>
      <w:r w:rsidR="007015A1">
        <w:t xml:space="preserve"> </w:t>
      </w:r>
      <w:r w:rsidR="00B67C2B">
        <w:t>as belonging to the iteration of “LGBT” that indexes</w:t>
      </w:r>
      <w:r w:rsidR="007015A1">
        <w:t xml:space="preserve"> </w:t>
      </w:r>
      <w:r w:rsidR="00B67C2B">
        <w:t>an out, white, middle-class,</w:t>
      </w:r>
      <w:r w:rsidR="007015A1">
        <w:t xml:space="preserve"> productive citizenry.</w:t>
      </w:r>
      <w:r>
        <w:t xml:space="preserve"> </w:t>
      </w:r>
    </w:p>
    <w:p w14:paraId="2F1D5A66" w14:textId="665D72C0" w:rsidR="005F34E4" w:rsidRPr="008C0993" w:rsidRDefault="00B67C2B" w:rsidP="001B3E0D">
      <w:pPr>
        <w:pStyle w:val="PoLAR"/>
      </w:pPr>
      <w:r>
        <w:lastRenderedPageBreak/>
        <w:t xml:space="preserve">The popularized image of LGBT asylum seekers also </w:t>
      </w:r>
      <w:r w:rsidR="008C0993">
        <w:t>impact</w:t>
      </w:r>
      <w:r>
        <w:t>s</w:t>
      </w:r>
      <w:r w:rsidR="008C0993">
        <w:t xml:space="preserve"> the </w:t>
      </w:r>
      <w:r>
        <w:t>shape</w:t>
      </w:r>
      <w:r w:rsidR="008C0993">
        <w:t xml:space="preserve"> of </w:t>
      </w:r>
      <w:r>
        <w:t>asylum more broadly</w:t>
      </w:r>
      <w:r w:rsidR="008C0993">
        <w:t xml:space="preserve">, as </w:t>
      </w:r>
      <w:r>
        <w:t>it</w:t>
      </w:r>
      <w:r w:rsidR="008C0993">
        <w:t xml:space="preserve"> pertain</w:t>
      </w:r>
      <w:r>
        <w:t>s</w:t>
      </w:r>
      <w:r w:rsidR="008C0993">
        <w:t xml:space="preserve"> to </w:t>
      </w:r>
      <w:r>
        <w:t>all potential</w:t>
      </w:r>
      <w:r w:rsidR="008C0993">
        <w:t xml:space="preserve"> claimants. The exemplary LGBT applicant</w:t>
      </w:r>
      <w:r>
        <w:t xml:space="preserve"> is constructed</w:t>
      </w:r>
      <w:r w:rsidR="008C0993">
        <w:t xml:space="preserve"> within a discursive nexus that situates them as different from agentive, masculine, unsympathetic, threatening immigrants; as the “good gay (potential) citizen”</w:t>
      </w:r>
      <w:r w:rsidR="003E7266">
        <w:t xml:space="preserve"> who</w:t>
      </w:r>
      <w:r w:rsidR="008C0993">
        <w:t xml:space="preserve"> is always already measured against the spectral, homophobic and illiberal other. In the contemporary context, this schema fuels rather than contests restrictive immigration policies</w:t>
      </w:r>
      <w:r w:rsidR="00236F1E">
        <w:t xml:space="preserve"> in which</w:t>
      </w:r>
      <w:r w:rsidR="008C0993">
        <w:t xml:space="preserve"> specific</w:t>
      </w:r>
      <w:r w:rsidR="003E7266">
        <w:t xml:space="preserve"> national</w:t>
      </w:r>
      <w:r w:rsidR="00236F1E">
        <w:t>s</w:t>
      </w:r>
      <w:r w:rsidR="008C0993">
        <w:t xml:space="preserve"> are seen as incompatible with U.S. society</w:t>
      </w:r>
      <w:r>
        <w:t xml:space="preserve">. As such, </w:t>
      </w:r>
      <w:r w:rsidR="00BB5BB4">
        <w:t>NG</w:t>
      </w:r>
      <w:r w:rsidR="00DA1B17">
        <w:t>O-based advocates</w:t>
      </w:r>
      <w:r w:rsidR="00BB5BB4">
        <w:t xml:space="preserve"> </w:t>
      </w:r>
      <w:r w:rsidR="0073524C">
        <w:t>can</w:t>
      </w:r>
      <w:r>
        <w:t xml:space="preserve"> be </w:t>
      </w:r>
      <w:r w:rsidR="0073524C">
        <w:t>read</w:t>
      </w:r>
      <w:r>
        <w:t xml:space="preserve"> as</w:t>
      </w:r>
      <w:r w:rsidR="00BB5BB4">
        <w:t xml:space="preserve"> an extension of, rather than a reformist challenge to State efforts to restrict asylum to suitably “deserving” claimants.</w:t>
      </w:r>
      <w:r w:rsidR="00D01C78" w:rsidRPr="003B3330">
        <w:rPr>
          <w:i/>
        </w:rPr>
        <w:t xml:space="preserve"> </w:t>
      </w:r>
    </w:p>
    <w:p w14:paraId="6C707AB8" w14:textId="7D0EF780" w:rsidR="005F34E4" w:rsidRDefault="005F34E4" w:rsidP="001B3E0D">
      <w:pPr>
        <w:pStyle w:val="PoLAR"/>
        <w:sectPr w:rsidR="005F34E4" w:rsidSect="005E0D89">
          <w:endnotePr>
            <w:numFmt w:val="decimal"/>
          </w:endnotePr>
          <w:type w:val="continuous"/>
          <w:pgSz w:w="12240" w:h="15840"/>
          <w:pgMar w:top="2160" w:right="2160" w:bottom="2160" w:left="2160" w:header="709" w:footer="709" w:gutter="0"/>
          <w:cols w:space="708"/>
          <w:docGrid w:linePitch="360"/>
        </w:sectPr>
      </w:pPr>
    </w:p>
    <w:p w14:paraId="6DE6AC1C" w14:textId="4FF85A75" w:rsidR="005A3509" w:rsidRPr="008C51F6" w:rsidRDefault="005A3509" w:rsidP="000214D5">
      <w:pPr>
        <w:pStyle w:val="PoLAR"/>
        <w:jc w:val="center"/>
        <w:outlineLvl w:val="0"/>
      </w:pPr>
      <w:r w:rsidRPr="005A3509">
        <w:rPr>
          <w:b/>
        </w:rPr>
        <w:lastRenderedPageBreak/>
        <w:t>References</w:t>
      </w:r>
      <w:r w:rsidR="00DC70BB">
        <w:rPr>
          <w:b/>
        </w:rPr>
        <w:t xml:space="preserve"> Cited</w:t>
      </w:r>
    </w:p>
    <w:p w14:paraId="5C71B1CC" w14:textId="6DB44801" w:rsidR="00235779" w:rsidRPr="00EA3008" w:rsidRDefault="007F2B29" w:rsidP="00EA1B8C">
      <w:pPr>
        <w:pStyle w:val="PoLAR"/>
        <w:tabs>
          <w:tab w:val="clear" w:pos="9360"/>
        </w:tabs>
        <w:spacing w:after="0"/>
        <w:ind w:left="720" w:hanging="720"/>
      </w:pPr>
      <w:r w:rsidRPr="00235779">
        <w:t xml:space="preserve">Acosta, </w:t>
      </w:r>
      <w:r w:rsidR="00235779" w:rsidRPr="00235779">
        <w:t>Katie L.</w:t>
      </w:r>
      <w:r w:rsidR="00EA3008">
        <w:t xml:space="preserve"> </w:t>
      </w:r>
      <w:r w:rsidR="00235779" w:rsidRPr="00235779">
        <w:t>2008. “Lesbianas</w:t>
      </w:r>
      <w:r w:rsidR="00235779">
        <w:t xml:space="preserve"> in t</w:t>
      </w:r>
      <w:r w:rsidR="00235779" w:rsidRPr="00235779">
        <w:t>he Borderlands: Shifting Identities and Imagined</w:t>
      </w:r>
      <w:r w:rsidR="00235779">
        <w:t xml:space="preserve"> </w:t>
      </w:r>
      <w:r w:rsidR="00235779" w:rsidRPr="00235779">
        <w:t>Communities</w:t>
      </w:r>
      <w:r w:rsidR="00235779">
        <w:t xml:space="preserve">.” </w:t>
      </w:r>
      <w:r w:rsidR="00235779" w:rsidRPr="00235779">
        <w:rPr>
          <w:i/>
        </w:rPr>
        <w:t>Gender and Society</w:t>
      </w:r>
      <w:r w:rsidR="00235779" w:rsidRPr="00235779">
        <w:t xml:space="preserve"> </w:t>
      </w:r>
      <w:r w:rsidR="00EA1B8C">
        <w:t>22 (</w:t>
      </w:r>
      <w:r w:rsidR="00235779">
        <w:t>5</w:t>
      </w:r>
      <w:r w:rsidR="00EA1B8C">
        <w:t>)</w:t>
      </w:r>
      <w:r w:rsidR="00235779">
        <w:t>:</w:t>
      </w:r>
      <w:r w:rsidR="00235779" w:rsidRPr="00235779">
        <w:t xml:space="preserve"> 639-659</w:t>
      </w:r>
      <w:r w:rsidR="00235779">
        <w:t>.</w:t>
      </w:r>
    </w:p>
    <w:p w14:paraId="0AE5A187" w14:textId="5527F80B" w:rsidR="00056F0C" w:rsidRDefault="00056F0C" w:rsidP="003B3330">
      <w:pPr>
        <w:pStyle w:val="PoLAR"/>
        <w:tabs>
          <w:tab w:val="clear" w:pos="9360"/>
        </w:tabs>
        <w:spacing w:after="0"/>
        <w:ind w:left="720" w:hanging="720"/>
      </w:pPr>
      <w:r w:rsidRPr="00056F0C">
        <w:t xml:space="preserve">Brown, Hana E. 2013. "Race, Legality, and the Social Policy Consequences of Anti-Immigration </w:t>
      </w:r>
      <w:r>
        <w:t xml:space="preserve">Mobilization." </w:t>
      </w:r>
      <w:r w:rsidRPr="00056F0C">
        <w:rPr>
          <w:i/>
        </w:rPr>
        <w:t>American Sociological Review</w:t>
      </w:r>
      <w:r w:rsidR="00EA1B8C">
        <w:t xml:space="preserve"> 78 (</w:t>
      </w:r>
      <w:r>
        <w:t>2</w:t>
      </w:r>
      <w:r w:rsidR="00EA1B8C">
        <w:t>)</w:t>
      </w:r>
      <w:r w:rsidR="00225F69">
        <w:t>:</w:t>
      </w:r>
      <w:r w:rsidR="00EA1B8C">
        <w:t xml:space="preserve"> </w:t>
      </w:r>
      <w:r w:rsidR="00225F69">
        <w:t>290-314.</w:t>
      </w:r>
    </w:p>
    <w:p w14:paraId="744390A4" w14:textId="7963A2D9" w:rsidR="00535EA9" w:rsidRPr="00535EA9" w:rsidRDefault="00582780" w:rsidP="003B3330">
      <w:pPr>
        <w:pStyle w:val="PoLAR"/>
        <w:tabs>
          <w:tab w:val="clear" w:pos="9360"/>
        </w:tabs>
        <w:spacing w:after="0"/>
        <w:ind w:left="720" w:hanging="720"/>
      </w:pPr>
      <w:r>
        <w:t>Bell, David, and Jon Binnie</w:t>
      </w:r>
      <w:r w:rsidR="00EA3008">
        <w:t xml:space="preserve">. </w:t>
      </w:r>
      <w:r w:rsidR="00535EA9" w:rsidRPr="00535EA9">
        <w:t>2000.</w:t>
      </w:r>
      <w:r>
        <w:t xml:space="preserve"> </w:t>
      </w:r>
      <w:r w:rsidR="00535EA9" w:rsidRPr="00582780">
        <w:rPr>
          <w:i/>
        </w:rPr>
        <w:t>The Sexual Citizen: Queer Politics and Beyond</w:t>
      </w:r>
      <w:r w:rsidR="00047DDB">
        <w:rPr>
          <w:i/>
        </w:rPr>
        <w:t xml:space="preserve">. </w:t>
      </w:r>
      <w:r w:rsidR="00535EA9" w:rsidRPr="00047DDB">
        <w:t>Cambridge</w:t>
      </w:r>
      <w:r>
        <w:t>.</w:t>
      </w:r>
      <w:r w:rsidR="00EA1B8C">
        <w:t xml:space="preserve"> </w:t>
      </w:r>
      <w:r w:rsidR="00535EA9" w:rsidRPr="00535EA9">
        <w:t>UK: Polity Press.</w:t>
      </w:r>
    </w:p>
    <w:p w14:paraId="5F10DFBC" w14:textId="15F55089" w:rsidR="00535EA9" w:rsidRPr="00535EA9" w:rsidRDefault="00535EA9" w:rsidP="003B3330">
      <w:pPr>
        <w:pStyle w:val="PoLAR"/>
        <w:tabs>
          <w:tab w:val="clear" w:pos="9360"/>
        </w:tabs>
        <w:spacing w:after="0"/>
        <w:ind w:left="720" w:hanging="720"/>
      </w:pPr>
      <w:r w:rsidRPr="00535EA9">
        <w:t>Berg, Laurie, and Jenni Millbank. 2009. "Constructing the Pers</w:t>
      </w:r>
      <w:r w:rsidR="00EA1B8C">
        <w:t xml:space="preserve">onal Narratives of Lesbian, Gay </w:t>
      </w:r>
      <w:r w:rsidRPr="00535EA9">
        <w:t xml:space="preserve">and Bisexual Asylum Claimants."  </w:t>
      </w:r>
      <w:r w:rsidRPr="00582780">
        <w:rPr>
          <w:i/>
        </w:rPr>
        <w:t>Journal of Refugee Studies</w:t>
      </w:r>
      <w:r w:rsidRPr="00535EA9">
        <w:t xml:space="preserve"> 22</w:t>
      </w:r>
      <w:r w:rsidR="00EA1B8C">
        <w:t xml:space="preserve"> (</w:t>
      </w:r>
      <w:r w:rsidR="005A3509">
        <w:t>2</w:t>
      </w:r>
      <w:r w:rsidR="00EA1B8C">
        <w:t>)</w:t>
      </w:r>
      <w:r w:rsidRPr="00535EA9">
        <w:t>:</w:t>
      </w:r>
      <w:r w:rsidR="00EA1B8C">
        <w:t xml:space="preserve"> </w:t>
      </w:r>
      <w:r w:rsidRPr="00535EA9">
        <w:t xml:space="preserve">195-223. </w:t>
      </w:r>
    </w:p>
    <w:p w14:paraId="25640863" w14:textId="0136A451" w:rsidR="00535EA9" w:rsidRPr="00535EA9" w:rsidRDefault="00535EA9" w:rsidP="003B3330">
      <w:pPr>
        <w:pStyle w:val="PoLAR"/>
        <w:tabs>
          <w:tab w:val="clear" w:pos="9360"/>
        </w:tabs>
        <w:spacing w:after="0"/>
        <w:ind w:left="720" w:hanging="720"/>
      </w:pPr>
      <w:r w:rsidRPr="00535EA9">
        <w:t>Berger, Susan A. 2009. "Production and Reproduction o</w:t>
      </w:r>
      <w:r w:rsidR="00EA1B8C">
        <w:t xml:space="preserve">f Gender and Sexuality in Legal </w:t>
      </w:r>
      <w:r w:rsidRPr="00535EA9">
        <w:t xml:space="preserve">Discourses of </w:t>
      </w:r>
      <w:r w:rsidR="00582780">
        <w:t xml:space="preserve">Asylum in the United States." </w:t>
      </w:r>
      <w:r w:rsidRPr="00582780">
        <w:rPr>
          <w:i/>
        </w:rPr>
        <w:t>Signs</w:t>
      </w:r>
      <w:r w:rsidR="00EA1B8C">
        <w:t xml:space="preserve"> 34 (</w:t>
      </w:r>
      <w:r w:rsidR="005A3509">
        <w:t>3</w:t>
      </w:r>
      <w:r w:rsidR="00EA1B8C">
        <w:t>)</w:t>
      </w:r>
      <w:r w:rsidRPr="00535EA9">
        <w:t>:</w:t>
      </w:r>
      <w:r w:rsidR="00EA1B8C">
        <w:t xml:space="preserve"> </w:t>
      </w:r>
      <w:r w:rsidRPr="00535EA9">
        <w:t>659-685.</w:t>
      </w:r>
    </w:p>
    <w:p w14:paraId="33A4590A" w14:textId="284A6236" w:rsidR="006D6936" w:rsidRPr="003344CC" w:rsidRDefault="006D6936" w:rsidP="003B3330">
      <w:pPr>
        <w:pStyle w:val="PoLAR"/>
        <w:tabs>
          <w:tab w:val="clear" w:pos="9360"/>
        </w:tabs>
        <w:spacing w:after="0"/>
        <w:ind w:left="720" w:hanging="720"/>
      </w:pPr>
      <w:r>
        <w:t>Cabot, Heath</w:t>
      </w:r>
      <w:r w:rsidR="00EA3008">
        <w:t xml:space="preserve">. </w:t>
      </w:r>
      <w:r w:rsidR="003344CC">
        <w:t>2014</w:t>
      </w:r>
      <w:r>
        <w:t>.</w:t>
      </w:r>
      <w:r w:rsidR="003344CC">
        <w:t xml:space="preserve"> </w:t>
      </w:r>
      <w:r w:rsidR="003344CC">
        <w:rPr>
          <w:i/>
        </w:rPr>
        <w:t>On the Doorstep of Europe: Asylum and Citizenship in Greece</w:t>
      </w:r>
      <w:r w:rsidR="003344CC">
        <w:t>. Pennsylvania: UPENN Press.</w:t>
      </w:r>
    </w:p>
    <w:p w14:paraId="09A296AF" w14:textId="1B2B3327" w:rsidR="00535EA9" w:rsidRPr="003B3330" w:rsidRDefault="00535EA9" w:rsidP="003B3330">
      <w:pPr>
        <w:pStyle w:val="PoLAR"/>
        <w:tabs>
          <w:tab w:val="clear" w:pos="9360"/>
        </w:tabs>
        <w:spacing w:after="0"/>
        <w:ind w:left="720" w:hanging="720"/>
        <w:rPr>
          <w:i/>
        </w:rPr>
      </w:pPr>
      <w:r w:rsidRPr="00535EA9">
        <w:t xml:space="preserve">Cass, Vivian. </w:t>
      </w:r>
      <w:r w:rsidRPr="00535EA9">
        <w:t xml:space="preserve">1979. "Homosexual Identity Formation: A Theoretical Model."  </w:t>
      </w:r>
      <w:r w:rsidRPr="00582780">
        <w:rPr>
          <w:i/>
        </w:rPr>
        <w:t>Journal of Homosexuality</w:t>
      </w:r>
      <w:r w:rsidR="00EA1B8C">
        <w:t xml:space="preserve"> 4</w:t>
      </w:r>
      <w:r w:rsidR="00EA1B8C">
        <w:t xml:space="preserve"> (</w:t>
      </w:r>
      <w:r w:rsidR="005A3509">
        <w:t>3</w:t>
      </w:r>
      <w:r w:rsidR="00EA1B8C">
        <w:t>)</w:t>
      </w:r>
      <w:r w:rsidRPr="00535EA9">
        <w:t>:</w:t>
      </w:r>
      <w:r w:rsidR="00EA1B8C">
        <w:t xml:space="preserve"> </w:t>
      </w:r>
      <w:r w:rsidRPr="00535EA9">
        <w:t>219-235.</w:t>
      </w:r>
    </w:p>
    <w:p w14:paraId="43229F42" w14:textId="1AE29F19" w:rsidR="00535EA9" w:rsidRPr="00535EA9" w:rsidRDefault="00535EA9" w:rsidP="003B3330">
      <w:pPr>
        <w:pStyle w:val="PoLAR"/>
        <w:tabs>
          <w:tab w:val="clear" w:pos="9360"/>
        </w:tabs>
        <w:spacing w:after="0"/>
        <w:ind w:left="720" w:hanging="720"/>
      </w:pPr>
      <w:r w:rsidRPr="00535EA9">
        <w:t>Decena, Carlos U. 2008a. "Profiles, Compulsory Disclosure and Et</w:t>
      </w:r>
      <w:r w:rsidR="00EA1B8C">
        <w:t xml:space="preserve">hical Sexual Citizenship in </w:t>
      </w:r>
      <w:r w:rsidR="005A3509">
        <w:t xml:space="preserve">the </w:t>
      </w:r>
      <w:r w:rsidRPr="00535EA9">
        <w:t>Contempora</w:t>
      </w:r>
      <w:r w:rsidR="008500DE">
        <w:t xml:space="preserve">ry USA." </w:t>
      </w:r>
      <w:r w:rsidRPr="005A3509">
        <w:rPr>
          <w:i/>
        </w:rPr>
        <w:t>Sexualities</w:t>
      </w:r>
      <w:r w:rsidR="00EA1B8C">
        <w:t xml:space="preserve"> 11 (</w:t>
      </w:r>
      <w:r w:rsidR="005A3509">
        <w:t>4</w:t>
      </w:r>
      <w:r w:rsidR="00EA1B8C">
        <w:t>)</w:t>
      </w:r>
      <w:r w:rsidR="00225F69">
        <w:t>:</w:t>
      </w:r>
      <w:r w:rsidR="00EA1B8C">
        <w:t xml:space="preserve"> </w:t>
      </w:r>
      <w:r w:rsidR="00225F69">
        <w:t>397-413</w:t>
      </w:r>
      <w:r w:rsidRPr="00535EA9">
        <w:t>.</w:t>
      </w:r>
    </w:p>
    <w:p w14:paraId="22446F96" w14:textId="6AB9BE4C" w:rsidR="00535EA9" w:rsidRPr="00535EA9" w:rsidRDefault="00EA1B8C" w:rsidP="003B3330">
      <w:pPr>
        <w:pStyle w:val="PoLAR"/>
        <w:tabs>
          <w:tab w:val="clear" w:pos="9360"/>
        </w:tabs>
        <w:spacing w:after="0"/>
        <w:ind w:left="720" w:hanging="720"/>
      </w:pPr>
      <w:r w:rsidRPr="00535EA9">
        <w:t xml:space="preserve">Decena, Carlos U. </w:t>
      </w:r>
      <w:r w:rsidR="008500DE">
        <w:t xml:space="preserve">2008b. "Tacit Subjects." </w:t>
      </w:r>
      <w:r w:rsidR="00535EA9" w:rsidRPr="005A3509">
        <w:rPr>
          <w:i/>
        </w:rPr>
        <w:t>Gay and Lesbian Quarterly</w:t>
      </w:r>
      <w:r>
        <w:t xml:space="preserve"> 14 (</w:t>
      </w:r>
      <w:r w:rsidR="005A3509">
        <w:t>2-3</w:t>
      </w:r>
      <w:r>
        <w:t>)</w:t>
      </w:r>
      <w:r w:rsidR="00535EA9" w:rsidRPr="00535EA9">
        <w:t>:</w:t>
      </w:r>
      <w:r>
        <w:t xml:space="preserve"> </w:t>
      </w:r>
      <w:r w:rsidR="00535EA9" w:rsidRPr="00535EA9">
        <w:t>339-359.</w:t>
      </w:r>
    </w:p>
    <w:p w14:paraId="6E63DB1E" w14:textId="72C6623E" w:rsidR="00535EA9" w:rsidRPr="00535EA9" w:rsidRDefault="00535EA9" w:rsidP="003B3330">
      <w:pPr>
        <w:pStyle w:val="PoLAR"/>
        <w:tabs>
          <w:tab w:val="clear" w:pos="9360"/>
        </w:tabs>
        <w:spacing w:after="0"/>
        <w:ind w:left="720" w:hanging="720"/>
      </w:pPr>
      <w:r w:rsidRPr="00535EA9">
        <w:t>Duggan, Lisa. 2002. "The New Homormativity: The Sexual Politics of N</w:t>
      </w:r>
      <w:r w:rsidR="005A3509">
        <w:t xml:space="preserve">eoliberalism." In </w:t>
      </w:r>
      <w:r w:rsidR="005A3509" w:rsidRPr="008500DE">
        <w:rPr>
          <w:i/>
        </w:rPr>
        <w:t xml:space="preserve">Materializing </w:t>
      </w:r>
      <w:r w:rsidRPr="008500DE">
        <w:rPr>
          <w:i/>
        </w:rPr>
        <w:t>Democracy: Toward a Revitalized Cultural Politics</w:t>
      </w:r>
      <w:r w:rsidRPr="00535EA9">
        <w:t>, edited by Russ Castronovo and Dana D. Nelson. Durham, NC: Duke University Press.</w:t>
      </w:r>
    </w:p>
    <w:p w14:paraId="07D9F90D" w14:textId="49C059E0" w:rsidR="00535EA9" w:rsidRPr="00535EA9" w:rsidRDefault="00535EA9" w:rsidP="003B3330">
      <w:pPr>
        <w:pStyle w:val="PoLAR"/>
        <w:tabs>
          <w:tab w:val="clear" w:pos="9360"/>
        </w:tabs>
        <w:spacing w:after="0"/>
        <w:ind w:left="720" w:hanging="720"/>
      </w:pPr>
      <w:r w:rsidRPr="00535EA9">
        <w:t xml:space="preserve">Griffiths, Melanie. </w:t>
      </w:r>
      <w:r w:rsidRPr="00535EA9">
        <w:t xml:space="preserve">2015. ""Here, Man is Nothing!": Gender and Policy in an Asylum Context."  </w:t>
      </w:r>
      <w:r w:rsidRPr="005A3509">
        <w:rPr>
          <w:i/>
        </w:rPr>
        <w:t xml:space="preserve">Men and Masculinities </w:t>
      </w:r>
      <w:r w:rsidR="00EA1B8C">
        <w:t>18</w:t>
      </w:r>
      <w:r w:rsidR="00EA1B8C">
        <w:t xml:space="preserve"> (</w:t>
      </w:r>
      <w:r w:rsidR="005A3509">
        <w:t>4</w:t>
      </w:r>
      <w:r w:rsidR="00EA1B8C">
        <w:t>)</w:t>
      </w:r>
      <w:r w:rsidRPr="00535EA9">
        <w:t>:</w:t>
      </w:r>
      <w:r w:rsidR="00EA1B8C">
        <w:t xml:space="preserve"> </w:t>
      </w:r>
      <w:r w:rsidRPr="00535EA9">
        <w:t>468-488.</w:t>
      </w:r>
    </w:p>
    <w:p w14:paraId="5034119B" w14:textId="34EE73C8" w:rsidR="00535EA9" w:rsidRPr="00535EA9" w:rsidRDefault="00535EA9" w:rsidP="003B3330">
      <w:pPr>
        <w:pStyle w:val="PoLAR"/>
        <w:tabs>
          <w:tab w:val="clear" w:pos="9360"/>
        </w:tabs>
        <w:spacing w:after="0"/>
        <w:ind w:left="720" w:hanging="720"/>
      </w:pPr>
      <w:r w:rsidRPr="00535EA9">
        <w:lastRenderedPageBreak/>
        <w:t xml:space="preserve">Harvey, Janice. </w:t>
      </w:r>
      <w:r w:rsidR="00EA1B8C">
        <w:t xml:space="preserve"> </w:t>
      </w:r>
      <w:r w:rsidRPr="00535EA9">
        <w:t xml:space="preserve">2012. "When Very Bad Things Happen to Innocent People." </w:t>
      </w:r>
      <w:r w:rsidRPr="005A3509">
        <w:rPr>
          <w:i/>
        </w:rPr>
        <w:t>Worcester Magazine</w:t>
      </w:r>
      <w:r w:rsidR="00EA1B8C">
        <w:t>.</w:t>
      </w:r>
      <w:r w:rsidRPr="00535EA9">
        <w:t xml:space="preserve"> October 18, 2012.</w:t>
      </w:r>
    </w:p>
    <w:p w14:paraId="413466FB" w14:textId="36B350EF" w:rsidR="00235779" w:rsidRPr="00235779" w:rsidRDefault="00235779" w:rsidP="00EA1B8C">
      <w:pPr>
        <w:pStyle w:val="PoLAR"/>
        <w:tabs>
          <w:tab w:val="clear" w:pos="9360"/>
        </w:tabs>
        <w:spacing w:after="0"/>
        <w:ind w:left="720" w:hanging="720"/>
      </w:pPr>
      <w:r>
        <w:t>Hemmings, Clare.</w:t>
      </w:r>
      <w:r w:rsidR="00EA1B8C">
        <w:t xml:space="preserve"> </w:t>
      </w:r>
      <w:r>
        <w:t>2007. “</w:t>
      </w:r>
      <w:r w:rsidRPr="00235779">
        <w:t>What's in a Name? Bisexuality, Transnational</w:t>
      </w:r>
      <w:r>
        <w:t xml:space="preserve"> </w:t>
      </w:r>
      <w:r w:rsidRPr="00235779">
        <w:t>Sexuality Studies and Western Colonial Legacies</w:t>
      </w:r>
      <w:r>
        <w:t xml:space="preserve">.” </w:t>
      </w:r>
      <w:r w:rsidRPr="00235779">
        <w:rPr>
          <w:i/>
        </w:rPr>
        <w:t>The International Journal of Human Rights</w:t>
      </w:r>
      <w:r>
        <w:rPr>
          <w:i/>
        </w:rPr>
        <w:t xml:space="preserve"> </w:t>
      </w:r>
      <w:r w:rsidRPr="00235779">
        <w:t>11</w:t>
      </w:r>
      <w:r w:rsidR="00EA1B8C">
        <w:t xml:space="preserve"> (</w:t>
      </w:r>
      <w:r>
        <w:t>1–2</w:t>
      </w:r>
      <w:r w:rsidR="00EA1B8C">
        <w:t>)</w:t>
      </w:r>
      <w:r>
        <w:t>:</w:t>
      </w:r>
      <w:r w:rsidRPr="00235779">
        <w:t xml:space="preserve"> 13–32</w:t>
      </w:r>
      <w:r>
        <w:t>.</w:t>
      </w:r>
    </w:p>
    <w:p w14:paraId="789455C0" w14:textId="65C57FB7" w:rsidR="00535EA9" w:rsidRPr="00535EA9" w:rsidRDefault="00535EA9" w:rsidP="003B3330">
      <w:pPr>
        <w:pStyle w:val="PoLAR"/>
        <w:tabs>
          <w:tab w:val="clear" w:pos="9360"/>
        </w:tabs>
        <w:spacing w:after="0"/>
        <w:ind w:left="720" w:hanging="720"/>
      </w:pPr>
      <w:r w:rsidRPr="00535EA9">
        <w:t xml:space="preserve">Johnson, Toni A. M. </w:t>
      </w:r>
      <w:r w:rsidR="00235779">
        <w:t>2007. “</w:t>
      </w:r>
      <w:r w:rsidRPr="00535EA9">
        <w:t>Flamers, Flaunte</w:t>
      </w:r>
      <w:r w:rsidR="00235779">
        <w:t>rs and Permissible Persecution.”</w:t>
      </w:r>
      <w:r w:rsidRPr="00535EA9">
        <w:t xml:space="preserve">  </w:t>
      </w:r>
      <w:r w:rsidRPr="005A3509">
        <w:rPr>
          <w:i/>
        </w:rPr>
        <w:t>Feminist Legal Studies</w:t>
      </w:r>
      <w:r w:rsidRPr="00535EA9">
        <w:t xml:space="preserve"> 15:</w:t>
      </w:r>
      <w:r w:rsidR="00EA1B8C">
        <w:t xml:space="preserve"> </w:t>
      </w:r>
      <w:r w:rsidRPr="00535EA9">
        <w:t>99-111.</w:t>
      </w:r>
    </w:p>
    <w:p w14:paraId="6DAA9CE9" w14:textId="3E9822ED" w:rsidR="00535EA9" w:rsidRPr="00535EA9" w:rsidRDefault="00535EA9" w:rsidP="003B3330">
      <w:pPr>
        <w:pStyle w:val="PoLAR"/>
        <w:tabs>
          <w:tab w:val="clear" w:pos="9360"/>
        </w:tabs>
        <w:spacing w:after="0"/>
        <w:ind w:left="720" w:hanging="720"/>
      </w:pPr>
      <w:r w:rsidRPr="00535EA9">
        <w:t xml:space="preserve">Kimmel, Michael, and Cheryl Llewellyn. 2012. "Homosexuality, Gender Nonconformity, and the Neoliberal State."  </w:t>
      </w:r>
      <w:r w:rsidRPr="005A3509">
        <w:rPr>
          <w:i/>
        </w:rPr>
        <w:t>Journal of Homosexuality</w:t>
      </w:r>
      <w:r w:rsidR="00EA1B8C">
        <w:t xml:space="preserve"> 59 (</w:t>
      </w:r>
      <w:r w:rsidR="005A3509">
        <w:t>7</w:t>
      </w:r>
      <w:r w:rsidR="00EA1B8C">
        <w:t>)</w:t>
      </w:r>
      <w:r w:rsidRPr="00535EA9">
        <w:t>:</w:t>
      </w:r>
      <w:r w:rsidR="00EA1B8C">
        <w:t xml:space="preserve"> </w:t>
      </w:r>
      <w:r w:rsidRPr="00535EA9">
        <w:t xml:space="preserve">1087-1094. </w:t>
      </w:r>
    </w:p>
    <w:p w14:paraId="67582D47" w14:textId="6AC3E297" w:rsidR="00056F0C" w:rsidRDefault="00056F0C" w:rsidP="003B3330">
      <w:pPr>
        <w:pStyle w:val="PoLAR"/>
        <w:tabs>
          <w:tab w:val="clear" w:pos="9360"/>
        </w:tabs>
        <w:spacing w:after="0"/>
        <w:ind w:left="720" w:hanging="720"/>
      </w:pPr>
      <w:r w:rsidRPr="00056F0C">
        <w:t>Lewis, Rachel. 2013. "Deportable Subjects: L</w:t>
      </w:r>
      <w:r>
        <w:t xml:space="preserve">esbians and Political Asylum." </w:t>
      </w:r>
      <w:r w:rsidRPr="00056F0C">
        <w:rPr>
          <w:i/>
        </w:rPr>
        <w:t>Feminist Formations</w:t>
      </w:r>
      <w:r w:rsidRPr="00056F0C">
        <w:t xml:space="preserve"> 25 </w:t>
      </w:r>
      <w:r w:rsidR="00EA1B8C">
        <w:t>(</w:t>
      </w:r>
      <w:r>
        <w:t>2</w:t>
      </w:r>
      <w:r w:rsidR="00EA1B8C">
        <w:t>)</w:t>
      </w:r>
      <w:r w:rsidRPr="00056F0C">
        <w:t>:</w:t>
      </w:r>
      <w:r w:rsidR="00EA1B8C">
        <w:t xml:space="preserve"> </w:t>
      </w:r>
      <w:r w:rsidRPr="00056F0C">
        <w:t>174-194.</w:t>
      </w:r>
    </w:p>
    <w:p w14:paraId="455281B8" w14:textId="77D8BB95" w:rsidR="00535EA9" w:rsidRPr="00535EA9" w:rsidRDefault="00535EA9" w:rsidP="003B3330">
      <w:pPr>
        <w:pStyle w:val="PoLAR"/>
        <w:tabs>
          <w:tab w:val="clear" w:pos="9360"/>
        </w:tabs>
        <w:spacing w:after="0"/>
        <w:ind w:left="720" w:hanging="720"/>
      </w:pPr>
      <w:r w:rsidRPr="00535EA9">
        <w:t xml:space="preserve">Middelkoop, Louis. </w:t>
      </w:r>
      <w:r w:rsidR="00821A17">
        <w:t>2013. "Normativity and Credibility of Sexual Orientation in Asylum Decision M</w:t>
      </w:r>
      <w:r w:rsidRPr="00535EA9">
        <w:t xml:space="preserve">aking." </w:t>
      </w:r>
      <w:r w:rsidR="00047DDB">
        <w:t xml:space="preserve">In </w:t>
      </w:r>
      <w:r w:rsidRPr="00821A17">
        <w:rPr>
          <w:i/>
        </w:rPr>
        <w:t>Fleeing Homophobia: Sexual Orientation, Gender Identity and Asylum</w:t>
      </w:r>
      <w:r w:rsidR="00047DDB">
        <w:t>, edited by</w:t>
      </w:r>
      <w:r w:rsidR="00250508">
        <w:t xml:space="preserve"> </w:t>
      </w:r>
      <w:r w:rsidRPr="00535EA9">
        <w:t>Thomas Spijkerboer</w:t>
      </w:r>
      <w:r w:rsidR="00047DDB">
        <w:t>,</w:t>
      </w:r>
      <w:r w:rsidRPr="00535EA9">
        <w:t xml:space="preserve"> 154-175. Abingdon, United Kingdom: Taylor &amp; Francis.</w:t>
      </w:r>
    </w:p>
    <w:p w14:paraId="46C69E20" w14:textId="50A12D9A" w:rsidR="00056F0C" w:rsidRDefault="00056F0C" w:rsidP="003B3330">
      <w:pPr>
        <w:pStyle w:val="PoLAR"/>
        <w:tabs>
          <w:tab w:val="clear" w:pos="9360"/>
        </w:tabs>
        <w:spacing w:after="0"/>
        <w:ind w:left="720" w:hanging="720"/>
      </w:pPr>
      <w:r w:rsidRPr="00056F0C">
        <w:t xml:space="preserve">Morgan, Deborah A. 2006. "Not Gay Enough for the Government: Racial and Sexual Stereotypes in Sexual Orientation Asylum Cases."  </w:t>
      </w:r>
      <w:r w:rsidRPr="00056F0C">
        <w:rPr>
          <w:i/>
        </w:rPr>
        <w:t>Law &amp; Sexuality</w:t>
      </w:r>
      <w:r>
        <w:t xml:space="preserve"> 15:</w:t>
      </w:r>
      <w:r w:rsidR="00EA1B8C">
        <w:t xml:space="preserve"> </w:t>
      </w:r>
      <w:r w:rsidRPr="00056F0C">
        <w:t>135-161.</w:t>
      </w:r>
    </w:p>
    <w:p w14:paraId="20C9CC12" w14:textId="525F4B21" w:rsidR="00DC70BB" w:rsidRPr="00B06E2D" w:rsidRDefault="00DC70BB" w:rsidP="003B3330">
      <w:pPr>
        <w:pStyle w:val="PoLAR"/>
        <w:tabs>
          <w:tab w:val="clear" w:pos="9360"/>
        </w:tabs>
        <w:spacing w:after="0"/>
        <w:ind w:left="720" w:hanging="720"/>
      </w:pPr>
      <w:r>
        <w:t>Murray, David A.B.</w:t>
      </w:r>
      <w:r w:rsidR="00EA1B8C">
        <w:t xml:space="preserve"> </w:t>
      </w:r>
      <w:r>
        <w:t xml:space="preserve">2016. </w:t>
      </w:r>
      <w:r w:rsidRPr="00DC70BB">
        <w:rPr>
          <w:i/>
        </w:rPr>
        <w:t>Real Quee</w:t>
      </w:r>
      <w:r>
        <w:rPr>
          <w:i/>
        </w:rPr>
        <w:t>r</w:t>
      </w:r>
      <w:r w:rsidRPr="00DC70BB">
        <w:rPr>
          <w:i/>
        </w:rPr>
        <w:t>? Sexual Orientation and Gender Identity Refugees in the Canadian Refugee Apparatus</w:t>
      </w:r>
      <w:r w:rsidR="00B06E2D">
        <w:t>. London: Rowman and</w:t>
      </w:r>
      <w:r w:rsidR="00B06E2D" w:rsidRPr="00B06E2D">
        <w:t xml:space="preserve"> Littlefield</w:t>
      </w:r>
      <w:r w:rsidR="00B06E2D">
        <w:t>.</w:t>
      </w:r>
    </w:p>
    <w:p w14:paraId="0C646CF6" w14:textId="2CD21731" w:rsidR="00535EA9" w:rsidRPr="00535EA9" w:rsidRDefault="00535EA9" w:rsidP="003B3330">
      <w:pPr>
        <w:pStyle w:val="PoLAR"/>
        <w:tabs>
          <w:tab w:val="clear" w:pos="9360"/>
        </w:tabs>
        <w:spacing w:after="0"/>
        <w:ind w:left="720" w:hanging="720"/>
      </w:pPr>
      <w:r w:rsidRPr="00535EA9">
        <w:t xml:space="preserve">Obama, Barak. 2014. </w:t>
      </w:r>
      <w:r w:rsidR="008500DE">
        <w:t>“</w:t>
      </w:r>
      <w:r w:rsidRPr="00535EA9">
        <w:t>Remarks by the President in Address to the Nation on Immigration.</w:t>
      </w:r>
      <w:r w:rsidR="008500DE">
        <w:t>”</w:t>
      </w:r>
      <w:r w:rsidRPr="00535EA9">
        <w:t xml:space="preserve"> Washington, DC: The White House Office of the Press Secretary.</w:t>
      </w:r>
    </w:p>
    <w:p w14:paraId="44EC707C" w14:textId="13445DE4" w:rsidR="004A033E" w:rsidRDefault="004A033E" w:rsidP="00EA1B8C">
      <w:pPr>
        <w:pStyle w:val="PoLAR"/>
        <w:tabs>
          <w:tab w:val="clear" w:pos="9360"/>
        </w:tabs>
        <w:spacing w:after="0"/>
        <w:ind w:left="720" w:hanging="720"/>
      </w:pPr>
      <w:r w:rsidRPr="000B57CE">
        <w:t>Puar, Jasbir</w:t>
      </w:r>
      <w:r w:rsidR="00EA1B8C">
        <w:t xml:space="preserve">. </w:t>
      </w:r>
      <w:r w:rsidR="000B57CE">
        <w:t xml:space="preserve">2007. </w:t>
      </w:r>
      <w:r w:rsidR="000B57CE" w:rsidRPr="000B57CE">
        <w:rPr>
          <w:i/>
          <w:iCs/>
        </w:rPr>
        <w:t>Terrorist Assemblages: Homonationalism in Queer Times</w:t>
      </w:r>
      <w:r w:rsidR="000B57CE" w:rsidRPr="000B57CE">
        <w:t>. Durham NC: Duke University Press</w:t>
      </w:r>
      <w:r w:rsidR="000B57CE">
        <w:t>.</w:t>
      </w:r>
    </w:p>
    <w:p w14:paraId="4D6181BC" w14:textId="277F0168" w:rsidR="00093427" w:rsidRDefault="00093427" w:rsidP="00EA1B8C">
      <w:pPr>
        <w:pStyle w:val="PoLAR"/>
        <w:tabs>
          <w:tab w:val="clear" w:pos="9360"/>
        </w:tabs>
        <w:spacing w:after="0"/>
        <w:ind w:left="720" w:hanging="720"/>
      </w:pPr>
      <w:r>
        <w:lastRenderedPageBreak/>
        <w:t>Rehaag, Sean.</w:t>
      </w:r>
      <w:r w:rsidR="00EA1B8C">
        <w:t xml:space="preserve"> </w:t>
      </w:r>
      <w:r>
        <w:t xml:space="preserve">2009. </w:t>
      </w:r>
      <w:r w:rsidRPr="00093427">
        <w:t xml:space="preserve">"Bisexuals Need Not Apply: A Comparative Appraisal of Refugee Law and Policy in Canada, the United States, and Australia."  </w:t>
      </w:r>
      <w:r w:rsidRPr="00093427">
        <w:rPr>
          <w:i/>
        </w:rPr>
        <w:t>International Journal of Human Rights</w:t>
      </w:r>
      <w:r w:rsidRPr="00093427">
        <w:t xml:space="preserve"> 13 </w:t>
      </w:r>
      <w:r w:rsidR="00EA1B8C">
        <w:t>(</w:t>
      </w:r>
      <w:r>
        <w:t>2</w:t>
      </w:r>
      <w:r w:rsidR="00EA1B8C">
        <w:t>)</w:t>
      </w:r>
      <w:r w:rsidRPr="00093427">
        <w:t>:</w:t>
      </w:r>
      <w:r w:rsidR="00EA1B8C">
        <w:t xml:space="preserve"> </w:t>
      </w:r>
      <w:r w:rsidRPr="00093427">
        <w:t>415-436.</w:t>
      </w:r>
    </w:p>
    <w:p w14:paraId="4931D701" w14:textId="12D0835A" w:rsidR="00535EA9" w:rsidRPr="00535EA9" w:rsidRDefault="00535EA9" w:rsidP="003B3330">
      <w:pPr>
        <w:pStyle w:val="PoLAR"/>
        <w:tabs>
          <w:tab w:val="clear" w:pos="9360"/>
        </w:tabs>
        <w:spacing w:after="0"/>
        <w:ind w:left="720" w:hanging="720"/>
      </w:pPr>
      <w:r w:rsidRPr="00535EA9">
        <w:t xml:space="preserve">Remedi-Brown, Fern. 2014. "Boston Pride Still Not Safe." </w:t>
      </w:r>
      <w:r w:rsidRPr="008500DE">
        <w:rPr>
          <w:i/>
        </w:rPr>
        <w:t>Guardian Liberty Voice</w:t>
      </w:r>
      <w:r w:rsidRPr="00535EA9">
        <w:t xml:space="preserve">, 15 June 2014. </w:t>
      </w:r>
      <w:hyperlink r:id="rId12" w:history="1">
        <w:r w:rsidR="00CD6142" w:rsidRPr="00352370">
          <w:rPr>
            <w:rStyle w:val="Hyperlink"/>
          </w:rPr>
          <w:t>http://guardianlv.com/2014/06/boston-pride-still-not-safe/</w:t>
        </w:r>
      </w:hyperlink>
      <w:r w:rsidRPr="00535EA9">
        <w:t>.</w:t>
      </w:r>
      <w:r w:rsidR="00CD6142">
        <w:t xml:space="preserve"> </w:t>
      </w:r>
    </w:p>
    <w:p w14:paraId="09BBAACA" w14:textId="0A6F1C6B" w:rsidR="00535EA9" w:rsidRPr="00535EA9" w:rsidRDefault="00535EA9" w:rsidP="003B3330">
      <w:pPr>
        <w:pStyle w:val="PoLAR"/>
        <w:tabs>
          <w:tab w:val="clear" w:pos="9360"/>
        </w:tabs>
        <w:spacing w:after="0"/>
        <w:ind w:left="720" w:hanging="720"/>
      </w:pPr>
      <w:r w:rsidRPr="00535EA9">
        <w:t xml:space="preserve">Sedgwick, Eve Kosofsky. 1990. </w:t>
      </w:r>
      <w:r w:rsidRPr="00CD6142">
        <w:rPr>
          <w:i/>
        </w:rPr>
        <w:t>The Epistemology of the Closet</w:t>
      </w:r>
      <w:r w:rsidRPr="00535EA9">
        <w:t>. Berkeley, CA: University of California Press.</w:t>
      </w:r>
    </w:p>
    <w:p w14:paraId="7F93C80B" w14:textId="7458F2CB" w:rsidR="00535EA9" w:rsidRPr="00535EA9" w:rsidRDefault="00EA1B8C" w:rsidP="003B3330">
      <w:pPr>
        <w:pStyle w:val="PoLAR"/>
        <w:tabs>
          <w:tab w:val="clear" w:pos="9360"/>
        </w:tabs>
        <w:spacing w:after="0"/>
        <w:ind w:left="720" w:hanging="720"/>
      </w:pPr>
      <w:r>
        <w:t xml:space="preserve">Stychin, Carl F. </w:t>
      </w:r>
      <w:r w:rsidR="00535EA9" w:rsidRPr="00535EA9">
        <w:t>2004. "Same-Sex Sexualities and the Globalizati</w:t>
      </w:r>
      <w:r w:rsidR="00CD6142">
        <w:t xml:space="preserve">on of Human Rights Discourse." </w:t>
      </w:r>
      <w:r w:rsidR="00535EA9" w:rsidRPr="00CD6142">
        <w:rPr>
          <w:i/>
        </w:rPr>
        <w:t>McGill Law Journal</w:t>
      </w:r>
      <w:r w:rsidR="00535EA9" w:rsidRPr="00535EA9">
        <w:t xml:space="preserve"> 49</w:t>
      </w:r>
      <w:r>
        <w:t xml:space="preserve"> (</w:t>
      </w:r>
      <w:r w:rsidR="00CD6142">
        <w:t>4</w:t>
      </w:r>
      <w:r>
        <w:t>)</w:t>
      </w:r>
      <w:r w:rsidR="00535EA9" w:rsidRPr="00535EA9">
        <w:t>:</w:t>
      </w:r>
      <w:r>
        <w:t xml:space="preserve"> </w:t>
      </w:r>
      <w:r w:rsidR="00535EA9" w:rsidRPr="00535EA9">
        <w:t>951-968.</w:t>
      </w:r>
    </w:p>
    <w:p w14:paraId="13176586" w14:textId="0FC7EA15" w:rsidR="0023414C" w:rsidRDefault="0023414C" w:rsidP="00EA1B8C">
      <w:pPr>
        <w:pStyle w:val="PoLAR"/>
        <w:tabs>
          <w:tab w:val="clear" w:pos="9360"/>
        </w:tabs>
        <w:spacing w:after="0"/>
        <w:ind w:left="720" w:hanging="720"/>
      </w:pPr>
      <w:r>
        <w:t>TRAC</w:t>
      </w:r>
      <w:r w:rsidR="00EA1B8C">
        <w:t xml:space="preserve">. </w:t>
      </w:r>
      <w:r>
        <w:t xml:space="preserve">2016. “Continued Rise in Asylum Denial Rates: Impact of Representation and Nationality.” </w:t>
      </w:r>
      <w:r w:rsidR="00B356B7" w:rsidRPr="00B356B7">
        <w:t>TRAC, Syracuse University</w:t>
      </w:r>
      <w:r w:rsidR="00B356B7">
        <w:t>.</w:t>
      </w:r>
      <w:r w:rsidR="00B356B7" w:rsidRPr="00B356B7">
        <w:t xml:space="preserve"> </w:t>
      </w:r>
      <w:r>
        <w:t>December 13, 2016.</w:t>
      </w:r>
      <w:r w:rsidR="00801748">
        <w:t xml:space="preserve"> </w:t>
      </w:r>
    </w:p>
    <w:p w14:paraId="7D883072" w14:textId="06EBE489" w:rsidR="00C857AF" w:rsidRPr="008C51F6" w:rsidRDefault="00535EA9" w:rsidP="00EA1B8C">
      <w:pPr>
        <w:pStyle w:val="PoLAR"/>
        <w:tabs>
          <w:tab w:val="clear" w:pos="9360"/>
        </w:tabs>
        <w:spacing w:after="0"/>
        <w:ind w:left="720" w:hanging="720"/>
      </w:pPr>
      <w:r w:rsidRPr="00535EA9">
        <w:t xml:space="preserve">Ticktin, Miriam. 2011. "The Gendered Human of Humanitarianism: Medicalising and Politicising Sexual </w:t>
      </w:r>
      <w:r w:rsidR="00CD6142">
        <w:t xml:space="preserve">Violence." </w:t>
      </w:r>
      <w:r w:rsidRPr="00CD6142">
        <w:rPr>
          <w:i/>
        </w:rPr>
        <w:t>Gender &amp; History</w:t>
      </w:r>
      <w:r w:rsidRPr="00535EA9">
        <w:t xml:space="preserve"> 23</w:t>
      </w:r>
      <w:r w:rsidR="00801748">
        <w:t xml:space="preserve"> </w:t>
      </w:r>
      <w:r w:rsidR="00EA1B8C">
        <w:t>(</w:t>
      </w:r>
      <w:r w:rsidR="00CD6142">
        <w:t>2</w:t>
      </w:r>
      <w:r w:rsidR="00EA1B8C">
        <w:t>)</w:t>
      </w:r>
      <w:r w:rsidRPr="00535EA9">
        <w:t>:</w:t>
      </w:r>
      <w:r w:rsidR="00EA1B8C">
        <w:t xml:space="preserve"> </w:t>
      </w:r>
      <w:r w:rsidRPr="00535EA9">
        <w:t>250-265.</w:t>
      </w:r>
      <w:r w:rsidR="00C857AF">
        <w:t xml:space="preserve"> </w:t>
      </w:r>
    </w:p>
    <w:sectPr w:rsidR="00C857AF" w:rsidRPr="008C51F6" w:rsidSect="00D6706D">
      <w:endnotePr>
        <w:numFmt w:val="decimal"/>
      </w:endnotePr>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59B9" w14:textId="77777777" w:rsidR="00C02621" w:rsidRDefault="00C02621" w:rsidP="00634A6A">
      <w:pPr>
        <w:ind w:firstLine="0"/>
      </w:pPr>
    </w:p>
  </w:endnote>
  <w:endnote w:type="continuationSeparator" w:id="0">
    <w:p w14:paraId="088F51CE" w14:textId="77777777" w:rsidR="00C02621" w:rsidRDefault="00C02621" w:rsidP="00634A6A">
      <w:pPr>
        <w:ind w:firstLine="0"/>
      </w:pPr>
    </w:p>
  </w:endnote>
  <w:endnote w:type="continuationNotice" w:id="1">
    <w:p w14:paraId="66938140" w14:textId="77777777" w:rsidR="00C02621" w:rsidRDefault="00C02621" w:rsidP="00634A6A">
      <w:pPr>
        <w:spacing w:line="240" w:lineRule="auto"/>
        <w:ind w:firstLine="0"/>
      </w:pPr>
    </w:p>
  </w:endnote>
  <w:endnote w:id="2">
    <w:p w14:paraId="55CF1E86" w14:textId="2EEE8D2A" w:rsidR="00303F51" w:rsidRPr="00634A6A" w:rsidRDefault="00303F51" w:rsidP="00634A6A">
      <w:pPr>
        <w:pStyle w:val="EndnoteText"/>
        <w:ind w:firstLine="0"/>
        <w:rPr>
          <w:rFonts w:ascii="Times" w:hAnsi="Times"/>
          <w:sz w:val="24"/>
        </w:rPr>
      </w:pPr>
      <w:r w:rsidRPr="00634A6A">
        <w:rPr>
          <w:rStyle w:val="EndnoteReference"/>
          <w:rFonts w:ascii="Times" w:hAnsi="Times"/>
          <w:sz w:val="24"/>
        </w:rPr>
        <w:endnoteRef/>
      </w:r>
      <w:r w:rsidRPr="00634A6A">
        <w:rPr>
          <w:rFonts w:ascii="Times" w:hAnsi="Times"/>
          <w:sz w:val="24"/>
        </w:rPr>
        <w:t xml:space="preserve"> Depending on the circuit, </w:t>
      </w:r>
      <w:r>
        <w:rPr>
          <w:rFonts w:ascii="Times" w:hAnsi="Times"/>
          <w:sz w:val="24"/>
        </w:rPr>
        <w:t>case approval</w:t>
      </w:r>
      <w:r w:rsidRPr="00634A6A">
        <w:rPr>
          <w:rFonts w:ascii="Times" w:hAnsi="Times"/>
          <w:sz w:val="24"/>
        </w:rPr>
        <w:t xml:space="preserve"> rates fluctuate between forty and sixty percent.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3EE78" w14:textId="77777777" w:rsidR="00303F51" w:rsidRDefault="00303F51" w:rsidP="00F427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70412B" w14:textId="77777777" w:rsidR="00303F51" w:rsidRDefault="00303F51" w:rsidP="002B33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97D7" w14:textId="77777777" w:rsidR="00303F51" w:rsidRDefault="00303F51" w:rsidP="00F427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02B9">
      <w:rPr>
        <w:rStyle w:val="PageNumber"/>
        <w:noProof/>
      </w:rPr>
      <w:t>1</w:t>
    </w:r>
    <w:r>
      <w:rPr>
        <w:rStyle w:val="PageNumber"/>
      </w:rPr>
      <w:fldChar w:fldCharType="end"/>
    </w:r>
  </w:p>
  <w:p w14:paraId="42F380FD" w14:textId="77777777" w:rsidR="00303F51" w:rsidRDefault="00303F51" w:rsidP="002B33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8620" w14:textId="77777777" w:rsidR="00303F51" w:rsidRDefault="00303F51" w:rsidP="000303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55D95" w14:textId="77777777" w:rsidR="00303F51" w:rsidRDefault="00303F51" w:rsidP="005E0D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E954B" w14:textId="77777777" w:rsidR="00C02621" w:rsidRDefault="00C02621" w:rsidP="007D50A4">
      <w:r>
        <w:separator/>
      </w:r>
    </w:p>
  </w:footnote>
  <w:footnote w:type="continuationSeparator" w:id="0">
    <w:p w14:paraId="78B4BC2F" w14:textId="77777777" w:rsidR="00C02621" w:rsidRDefault="00C02621" w:rsidP="007D50A4">
      <w:r>
        <w:continuationSeparator/>
      </w:r>
    </w:p>
  </w:footnote>
  <w:footnote w:type="continuationNotice" w:id="1">
    <w:p w14:paraId="62B53C1F" w14:textId="77777777" w:rsidR="00C02621" w:rsidRDefault="00C026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4238" w14:textId="27C047ED" w:rsidR="00303F51" w:rsidRPr="00790F13" w:rsidRDefault="00303F51" w:rsidP="00FD7EBC">
    <w:pPr>
      <w:pStyle w:val="Header"/>
      <w:tabs>
        <w:tab w:val="clear" w:pos="4320"/>
        <w:tab w:val="clear" w:pos="8640"/>
        <w:tab w:val="right" w:pos="9360"/>
      </w:tabs>
      <w:ind w:firstLine="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x2x9vw3vz5wretwfnpsavdxe0w5pfpzees&quot;&gt;S.McGuirk_Library&lt;record-ids&gt;&lt;item&gt;52&lt;/item&gt;&lt;item&gt;241&lt;/item&gt;&lt;item&gt;313&lt;/item&gt;&lt;item&gt;379&lt;/item&gt;&lt;item&gt;388&lt;/item&gt;&lt;item&gt;439&lt;/item&gt;&lt;item&gt;507&lt;/item&gt;&lt;item&gt;727&lt;/item&gt;&lt;item&gt;732&lt;/item&gt;&lt;item&gt;818&lt;/item&gt;&lt;item&gt;832&lt;/item&gt;&lt;item&gt;855&lt;/item&gt;&lt;item&gt;859&lt;/item&gt;&lt;item&gt;891&lt;/item&gt;&lt;item&gt;893&lt;/item&gt;&lt;item&gt;894&lt;/item&gt;&lt;item&gt;899&lt;/item&gt;&lt;item&gt;909&lt;/item&gt;&lt;item&gt;912&lt;/item&gt;&lt;item&gt;978&lt;/item&gt;&lt;item&gt;979&lt;/item&gt;&lt;item&gt;980&lt;/item&gt;&lt;item&gt;981&lt;/item&gt;&lt;/record-ids&gt;&lt;/item&gt;&lt;/Libraries&gt;"/>
  </w:docVars>
  <w:rsids>
    <w:rsidRoot w:val="007D50A4"/>
    <w:rsid w:val="000043DD"/>
    <w:rsid w:val="000063A8"/>
    <w:rsid w:val="00012E53"/>
    <w:rsid w:val="000214D5"/>
    <w:rsid w:val="00022375"/>
    <w:rsid w:val="00023511"/>
    <w:rsid w:val="00026703"/>
    <w:rsid w:val="000303B3"/>
    <w:rsid w:val="00037A21"/>
    <w:rsid w:val="00044DD6"/>
    <w:rsid w:val="000471B0"/>
    <w:rsid w:val="0004764A"/>
    <w:rsid w:val="00047838"/>
    <w:rsid w:val="00047DDB"/>
    <w:rsid w:val="0005552F"/>
    <w:rsid w:val="00056F0C"/>
    <w:rsid w:val="000615F0"/>
    <w:rsid w:val="00062BAF"/>
    <w:rsid w:val="00066BB3"/>
    <w:rsid w:val="00072AB4"/>
    <w:rsid w:val="000776B3"/>
    <w:rsid w:val="00082055"/>
    <w:rsid w:val="00086572"/>
    <w:rsid w:val="00093427"/>
    <w:rsid w:val="00094C42"/>
    <w:rsid w:val="00097755"/>
    <w:rsid w:val="000A2F29"/>
    <w:rsid w:val="000A2F74"/>
    <w:rsid w:val="000A7B9B"/>
    <w:rsid w:val="000B57CE"/>
    <w:rsid w:val="000C5BDD"/>
    <w:rsid w:val="000C7EFC"/>
    <w:rsid w:val="000D5994"/>
    <w:rsid w:val="000E0BA8"/>
    <w:rsid w:val="000F0851"/>
    <w:rsid w:val="000F2495"/>
    <w:rsid w:val="000F32D3"/>
    <w:rsid w:val="000F3BC8"/>
    <w:rsid w:val="000F4082"/>
    <w:rsid w:val="0010684C"/>
    <w:rsid w:val="00106F25"/>
    <w:rsid w:val="0012232F"/>
    <w:rsid w:val="00130D4B"/>
    <w:rsid w:val="00133179"/>
    <w:rsid w:val="00150D10"/>
    <w:rsid w:val="00151122"/>
    <w:rsid w:val="00151FB2"/>
    <w:rsid w:val="00160F3B"/>
    <w:rsid w:val="001621E9"/>
    <w:rsid w:val="00166B94"/>
    <w:rsid w:val="00170B83"/>
    <w:rsid w:val="0018022F"/>
    <w:rsid w:val="001816D5"/>
    <w:rsid w:val="00181F00"/>
    <w:rsid w:val="00182502"/>
    <w:rsid w:val="00182BF8"/>
    <w:rsid w:val="0018719A"/>
    <w:rsid w:val="001A24E9"/>
    <w:rsid w:val="001A597F"/>
    <w:rsid w:val="001B3E0D"/>
    <w:rsid w:val="001C0039"/>
    <w:rsid w:val="001C3623"/>
    <w:rsid w:val="001C4110"/>
    <w:rsid w:val="001C60B5"/>
    <w:rsid w:val="001C75BB"/>
    <w:rsid w:val="001C7DC3"/>
    <w:rsid w:val="001F06AA"/>
    <w:rsid w:val="00201545"/>
    <w:rsid w:val="0020477E"/>
    <w:rsid w:val="00207DDC"/>
    <w:rsid w:val="00225F69"/>
    <w:rsid w:val="00227AEF"/>
    <w:rsid w:val="00232907"/>
    <w:rsid w:val="0023414C"/>
    <w:rsid w:val="00235779"/>
    <w:rsid w:val="00236F1E"/>
    <w:rsid w:val="00243950"/>
    <w:rsid w:val="00246076"/>
    <w:rsid w:val="00250508"/>
    <w:rsid w:val="00252DB4"/>
    <w:rsid w:val="00253D7D"/>
    <w:rsid w:val="00254DAB"/>
    <w:rsid w:val="00256E0B"/>
    <w:rsid w:val="002642BE"/>
    <w:rsid w:val="00266A8D"/>
    <w:rsid w:val="0027685D"/>
    <w:rsid w:val="0028303C"/>
    <w:rsid w:val="002902B9"/>
    <w:rsid w:val="0029321F"/>
    <w:rsid w:val="002A17A0"/>
    <w:rsid w:val="002A27D0"/>
    <w:rsid w:val="002B2BF0"/>
    <w:rsid w:val="002B3279"/>
    <w:rsid w:val="002B336F"/>
    <w:rsid w:val="002B50D2"/>
    <w:rsid w:val="002C252A"/>
    <w:rsid w:val="002C26CA"/>
    <w:rsid w:val="002D240B"/>
    <w:rsid w:val="002D275D"/>
    <w:rsid w:val="002D2E7D"/>
    <w:rsid w:val="002D4697"/>
    <w:rsid w:val="002D7AA4"/>
    <w:rsid w:val="002D7B93"/>
    <w:rsid w:val="002F61E7"/>
    <w:rsid w:val="002F74D1"/>
    <w:rsid w:val="00301720"/>
    <w:rsid w:val="00303F51"/>
    <w:rsid w:val="0031298A"/>
    <w:rsid w:val="00312B50"/>
    <w:rsid w:val="00314A2E"/>
    <w:rsid w:val="003225FC"/>
    <w:rsid w:val="00324C94"/>
    <w:rsid w:val="003344CC"/>
    <w:rsid w:val="00343271"/>
    <w:rsid w:val="00343C63"/>
    <w:rsid w:val="003445C6"/>
    <w:rsid w:val="00354508"/>
    <w:rsid w:val="003607E3"/>
    <w:rsid w:val="00360A58"/>
    <w:rsid w:val="003621D6"/>
    <w:rsid w:val="003623D4"/>
    <w:rsid w:val="0036679A"/>
    <w:rsid w:val="003751A6"/>
    <w:rsid w:val="00375AF0"/>
    <w:rsid w:val="00380AAD"/>
    <w:rsid w:val="00382F4A"/>
    <w:rsid w:val="0039195F"/>
    <w:rsid w:val="003939FE"/>
    <w:rsid w:val="003A7998"/>
    <w:rsid w:val="003B3330"/>
    <w:rsid w:val="003C1E66"/>
    <w:rsid w:val="003C2B15"/>
    <w:rsid w:val="003C676F"/>
    <w:rsid w:val="003D0163"/>
    <w:rsid w:val="003D0DFC"/>
    <w:rsid w:val="003D26B5"/>
    <w:rsid w:val="003D2D97"/>
    <w:rsid w:val="003D307B"/>
    <w:rsid w:val="003E7266"/>
    <w:rsid w:val="003F3413"/>
    <w:rsid w:val="003F7175"/>
    <w:rsid w:val="00400482"/>
    <w:rsid w:val="00401D7D"/>
    <w:rsid w:val="004209A5"/>
    <w:rsid w:val="0042190D"/>
    <w:rsid w:val="00423A8F"/>
    <w:rsid w:val="00423B35"/>
    <w:rsid w:val="00430A12"/>
    <w:rsid w:val="0043337D"/>
    <w:rsid w:val="00441C4F"/>
    <w:rsid w:val="00442294"/>
    <w:rsid w:val="00445890"/>
    <w:rsid w:val="00446AD5"/>
    <w:rsid w:val="004479E1"/>
    <w:rsid w:val="004721AC"/>
    <w:rsid w:val="004730AE"/>
    <w:rsid w:val="004759FB"/>
    <w:rsid w:val="00476431"/>
    <w:rsid w:val="00487903"/>
    <w:rsid w:val="00497E6A"/>
    <w:rsid w:val="004A033E"/>
    <w:rsid w:val="004A16CB"/>
    <w:rsid w:val="004B164C"/>
    <w:rsid w:val="004B2998"/>
    <w:rsid w:val="004C236C"/>
    <w:rsid w:val="004C4A06"/>
    <w:rsid w:val="004C51F2"/>
    <w:rsid w:val="004C5966"/>
    <w:rsid w:val="004D0829"/>
    <w:rsid w:val="004D55ED"/>
    <w:rsid w:val="004E0406"/>
    <w:rsid w:val="004E230E"/>
    <w:rsid w:val="004E26A0"/>
    <w:rsid w:val="00500696"/>
    <w:rsid w:val="00506277"/>
    <w:rsid w:val="00510CA5"/>
    <w:rsid w:val="005115C4"/>
    <w:rsid w:val="00514064"/>
    <w:rsid w:val="005249F8"/>
    <w:rsid w:val="00526748"/>
    <w:rsid w:val="005333B0"/>
    <w:rsid w:val="00534A99"/>
    <w:rsid w:val="00535EA9"/>
    <w:rsid w:val="00566F79"/>
    <w:rsid w:val="0057178C"/>
    <w:rsid w:val="005737DA"/>
    <w:rsid w:val="0057409A"/>
    <w:rsid w:val="00580B16"/>
    <w:rsid w:val="00581ABE"/>
    <w:rsid w:val="00582780"/>
    <w:rsid w:val="00582BAE"/>
    <w:rsid w:val="005863B7"/>
    <w:rsid w:val="0059389E"/>
    <w:rsid w:val="00593CFA"/>
    <w:rsid w:val="005A3509"/>
    <w:rsid w:val="005A4ED8"/>
    <w:rsid w:val="005A5416"/>
    <w:rsid w:val="005A7000"/>
    <w:rsid w:val="005B19E0"/>
    <w:rsid w:val="005C2199"/>
    <w:rsid w:val="005C6A51"/>
    <w:rsid w:val="005D0746"/>
    <w:rsid w:val="005D1053"/>
    <w:rsid w:val="005D66B7"/>
    <w:rsid w:val="005D6E94"/>
    <w:rsid w:val="005E0D89"/>
    <w:rsid w:val="005E6B20"/>
    <w:rsid w:val="005F21F8"/>
    <w:rsid w:val="005F2FCA"/>
    <w:rsid w:val="005F34E4"/>
    <w:rsid w:val="006031BA"/>
    <w:rsid w:val="006046DA"/>
    <w:rsid w:val="00622ADD"/>
    <w:rsid w:val="00634A6A"/>
    <w:rsid w:val="0064343A"/>
    <w:rsid w:val="006567B1"/>
    <w:rsid w:val="0066173D"/>
    <w:rsid w:val="006656AD"/>
    <w:rsid w:val="006714A1"/>
    <w:rsid w:val="00680FA2"/>
    <w:rsid w:val="00690CAC"/>
    <w:rsid w:val="006A0FA6"/>
    <w:rsid w:val="006A4281"/>
    <w:rsid w:val="006B0D54"/>
    <w:rsid w:val="006B1B5D"/>
    <w:rsid w:val="006C4474"/>
    <w:rsid w:val="006C4932"/>
    <w:rsid w:val="006C59A4"/>
    <w:rsid w:val="006C5C50"/>
    <w:rsid w:val="006C70CB"/>
    <w:rsid w:val="006C7763"/>
    <w:rsid w:val="006D0E45"/>
    <w:rsid w:val="006D16D3"/>
    <w:rsid w:val="006D3E6E"/>
    <w:rsid w:val="006D47F6"/>
    <w:rsid w:val="006D6936"/>
    <w:rsid w:val="006D754A"/>
    <w:rsid w:val="006E7DBC"/>
    <w:rsid w:val="007015A1"/>
    <w:rsid w:val="007031BC"/>
    <w:rsid w:val="00706B68"/>
    <w:rsid w:val="00715A3E"/>
    <w:rsid w:val="00717A33"/>
    <w:rsid w:val="00720808"/>
    <w:rsid w:val="00722839"/>
    <w:rsid w:val="0072612E"/>
    <w:rsid w:val="00726162"/>
    <w:rsid w:val="007266ED"/>
    <w:rsid w:val="0072705F"/>
    <w:rsid w:val="00730A25"/>
    <w:rsid w:val="007350C3"/>
    <w:rsid w:val="0073524C"/>
    <w:rsid w:val="007358FB"/>
    <w:rsid w:val="00737E7C"/>
    <w:rsid w:val="00746752"/>
    <w:rsid w:val="00746B61"/>
    <w:rsid w:val="0075043B"/>
    <w:rsid w:val="00765BC7"/>
    <w:rsid w:val="007662E1"/>
    <w:rsid w:val="00770E7D"/>
    <w:rsid w:val="007777E5"/>
    <w:rsid w:val="007813D6"/>
    <w:rsid w:val="00790F13"/>
    <w:rsid w:val="00796971"/>
    <w:rsid w:val="007A5C3D"/>
    <w:rsid w:val="007B0D51"/>
    <w:rsid w:val="007B34E0"/>
    <w:rsid w:val="007C230C"/>
    <w:rsid w:val="007C4830"/>
    <w:rsid w:val="007D2E24"/>
    <w:rsid w:val="007D50A4"/>
    <w:rsid w:val="007D7693"/>
    <w:rsid w:val="007E3229"/>
    <w:rsid w:val="007F2B29"/>
    <w:rsid w:val="007F4684"/>
    <w:rsid w:val="007F46EA"/>
    <w:rsid w:val="007F5191"/>
    <w:rsid w:val="00801748"/>
    <w:rsid w:val="008218DA"/>
    <w:rsid w:val="00821A17"/>
    <w:rsid w:val="00822477"/>
    <w:rsid w:val="00826F72"/>
    <w:rsid w:val="00840FE9"/>
    <w:rsid w:val="00841572"/>
    <w:rsid w:val="008438B8"/>
    <w:rsid w:val="008500DE"/>
    <w:rsid w:val="00854E19"/>
    <w:rsid w:val="00861D14"/>
    <w:rsid w:val="00874ADD"/>
    <w:rsid w:val="008768FD"/>
    <w:rsid w:val="00893E34"/>
    <w:rsid w:val="008A06BB"/>
    <w:rsid w:val="008B1B2A"/>
    <w:rsid w:val="008B2973"/>
    <w:rsid w:val="008B3895"/>
    <w:rsid w:val="008B4295"/>
    <w:rsid w:val="008B4963"/>
    <w:rsid w:val="008B49E2"/>
    <w:rsid w:val="008C0993"/>
    <w:rsid w:val="008C51F6"/>
    <w:rsid w:val="008D0B3A"/>
    <w:rsid w:val="008D23CD"/>
    <w:rsid w:val="008D2A44"/>
    <w:rsid w:val="008E04C4"/>
    <w:rsid w:val="008E21CA"/>
    <w:rsid w:val="008F2E22"/>
    <w:rsid w:val="008F76A9"/>
    <w:rsid w:val="008F7E5E"/>
    <w:rsid w:val="009006BD"/>
    <w:rsid w:val="00901114"/>
    <w:rsid w:val="00913B15"/>
    <w:rsid w:val="00915057"/>
    <w:rsid w:val="00921397"/>
    <w:rsid w:val="009271EE"/>
    <w:rsid w:val="00927FBE"/>
    <w:rsid w:val="00932318"/>
    <w:rsid w:val="00933796"/>
    <w:rsid w:val="009365E3"/>
    <w:rsid w:val="0094417B"/>
    <w:rsid w:val="00944F5C"/>
    <w:rsid w:val="00956CFA"/>
    <w:rsid w:val="00961295"/>
    <w:rsid w:val="00966E1F"/>
    <w:rsid w:val="0097128B"/>
    <w:rsid w:val="00985CFF"/>
    <w:rsid w:val="00987983"/>
    <w:rsid w:val="00992E19"/>
    <w:rsid w:val="009B1FB1"/>
    <w:rsid w:val="009B502F"/>
    <w:rsid w:val="009B737A"/>
    <w:rsid w:val="009C1B2A"/>
    <w:rsid w:val="009C393D"/>
    <w:rsid w:val="009C7363"/>
    <w:rsid w:val="009D1D50"/>
    <w:rsid w:val="009D302A"/>
    <w:rsid w:val="009D5342"/>
    <w:rsid w:val="009E2673"/>
    <w:rsid w:val="009E73AD"/>
    <w:rsid w:val="009F353E"/>
    <w:rsid w:val="00A11898"/>
    <w:rsid w:val="00A11FD7"/>
    <w:rsid w:val="00A2294D"/>
    <w:rsid w:val="00A26582"/>
    <w:rsid w:val="00A2685E"/>
    <w:rsid w:val="00A2759F"/>
    <w:rsid w:val="00A35CAD"/>
    <w:rsid w:val="00A372AD"/>
    <w:rsid w:val="00A412DD"/>
    <w:rsid w:val="00A42DFE"/>
    <w:rsid w:val="00A52518"/>
    <w:rsid w:val="00A740DC"/>
    <w:rsid w:val="00A77CD3"/>
    <w:rsid w:val="00A8109C"/>
    <w:rsid w:val="00A82FE0"/>
    <w:rsid w:val="00A906E3"/>
    <w:rsid w:val="00A93DF8"/>
    <w:rsid w:val="00AA0AAB"/>
    <w:rsid w:val="00AA17A2"/>
    <w:rsid w:val="00AA5AD8"/>
    <w:rsid w:val="00AA6A9E"/>
    <w:rsid w:val="00AB4AF3"/>
    <w:rsid w:val="00AB5D55"/>
    <w:rsid w:val="00AB65A3"/>
    <w:rsid w:val="00AC27F1"/>
    <w:rsid w:val="00AC6C41"/>
    <w:rsid w:val="00AD3F94"/>
    <w:rsid w:val="00AD4079"/>
    <w:rsid w:val="00AE111C"/>
    <w:rsid w:val="00AE1E4E"/>
    <w:rsid w:val="00AF0590"/>
    <w:rsid w:val="00AF4D2E"/>
    <w:rsid w:val="00B0050C"/>
    <w:rsid w:val="00B0054D"/>
    <w:rsid w:val="00B0308E"/>
    <w:rsid w:val="00B0679B"/>
    <w:rsid w:val="00B06C0E"/>
    <w:rsid w:val="00B06E2D"/>
    <w:rsid w:val="00B103BF"/>
    <w:rsid w:val="00B11F07"/>
    <w:rsid w:val="00B21D19"/>
    <w:rsid w:val="00B24AFA"/>
    <w:rsid w:val="00B266BA"/>
    <w:rsid w:val="00B32020"/>
    <w:rsid w:val="00B33A6A"/>
    <w:rsid w:val="00B35594"/>
    <w:rsid w:val="00B356B7"/>
    <w:rsid w:val="00B40405"/>
    <w:rsid w:val="00B5047B"/>
    <w:rsid w:val="00B66265"/>
    <w:rsid w:val="00B67C2B"/>
    <w:rsid w:val="00B72580"/>
    <w:rsid w:val="00B75D4F"/>
    <w:rsid w:val="00B80343"/>
    <w:rsid w:val="00B85B0E"/>
    <w:rsid w:val="00B87B5C"/>
    <w:rsid w:val="00B92FFD"/>
    <w:rsid w:val="00B969D1"/>
    <w:rsid w:val="00B972E5"/>
    <w:rsid w:val="00BA3C5A"/>
    <w:rsid w:val="00BB5BB4"/>
    <w:rsid w:val="00BC34FB"/>
    <w:rsid w:val="00BC4E3C"/>
    <w:rsid w:val="00BD40F0"/>
    <w:rsid w:val="00BD42EE"/>
    <w:rsid w:val="00BD63CB"/>
    <w:rsid w:val="00BE6DC2"/>
    <w:rsid w:val="00BF429D"/>
    <w:rsid w:val="00C02621"/>
    <w:rsid w:val="00C13B5F"/>
    <w:rsid w:val="00C35EDC"/>
    <w:rsid w:val="00C72C82"/>
    <w:rsid w:val="00C80EE9"/>
    <w:rsid w:val="00C81B67"/>
    <w:rsid w:val="00C85345"/>
    <w:rsid w:val="00C857AF"/>
    <w:rsid w:val="00C86E0F"/>
    <w:rsid w:val="00C9770E"/>
    <w:rsid w:val="00CA3ED6"/>
    <w:rsid w:val="00CA56F3"/>
    <w:rsid w:val="00CC4556"/>
    <w:rsid w:val="00CC5D84"/>
    <w:rsid w:val="00CC730A"/>
    <w:rsid w:val="00CD6142"/>
    <w:rsid w:val="00CD7BF8"/>
    <w:rsid w:val="00CD7E11"/>
    <w:rsid w:val="00CF426C"/>
    <w:rsid w:val="00D01C78"/>
    <w:rsid w:val="00D052AB"/>
    <w:rsid w:val="00D13436"/>
    <w:rsid w:val="00D154E1"/>
    <w:rsid w:val="00D16E5F"/>
    <w:rsid w:val="00D2029F"/>
    <w:rsid w:val="00D3207A"/>
    <w:rsid w:val="00D33392"/>
    <w:rsid w:val="00D36E9D"/>
    <w:rsid w:val="00D36F00"/>
    <w:rsid w:val="00D4099A"/>
    <w:rsid w:val="00D45D97"/>
    <w:rsid w:val="00D51930"/>
    <w:rsid w:val="00D55949"/>
    <w:rsid w:val="00D57116"/>
    <w:rsid w:val="00D65117"/>
    <w:rsid w:val="00D6680D"/>
    <w:rsid w:val="00D6706D"/>
    <w:rsid w:val="00D75466"/>
    <w:rsid w:val="00D81711"/>
    <w:rsid w:val="00DA1B17"/>
    <w:rsid w:val="00DA1B31"/>
    <w:rsid w:val="00DA3B68"/>
    <w:rsid w:val="00DA6350"/>
    <w:rsid w:val="00DB4F45"/>
    <w:rsid w:val="00DB6F28"/>
    <w:rsid w:val="00DC70BB"/>
    <w:rsid w:val="00DC721B"/>
    <w:rsid w:val="00DC771C"/>
    <w:rsid w:val="00DD0A8E"/>
    <w:rsid w:val="00DD157B"/>
    <w:rsid w:val="00DF4BE2"/>
    <w:rsid w:val="00DF572A"/>
    <w:rsid w:val="00E01473"/>
    <w:rsid w:val="00E032B4"/>
    <w:rsid w:val="00E10D63"/>
    <w:rsid w:val="00E154DD"/>
    <w:rsid w:val="00E2345A"/>
    <w:rsid w:val="00E30423"/>
    <w:rsid w:val="00E365B9"/>
    <w:rsid w:val="00E50953"/>
    <w:rsid w:val="00E5600F"/>
    <w:rsid w:val="00E60897"/>
    <w:rsid w:val="00E62708"/>
    <w:rsid w:val="00E6411B"/>
    <w:rsid w:val="00E65D3A"/>
    <w:rsid w:val="00E663B8"/>
    <w:rsid w:val="00E66F8F"/>
    <w:rsid w:val="00E67ACB"/>
    <w:rsid w:val="00E8070D"/>
    <w:rsid w:val="00E83D99"/>
    <w:rsid w:val="00E86F3C"/>
    <w:rsid w:val="00E94349"/>
    <w:rsid w:val="00EA0E29"/>
    <w:rsid w:val="00EA1B8C"/>
    <w:rsid w:val="00EA3008"/>
    <w:rsid w:val="00EB2A5D"/>
    <w:rsid w:val="00EC4010"/>
    <w:rsid w:val="00EE06C4"/>
    <w:rsid w:val="00EE1165"/>
    <w:rsid w:val="00EE1D60"/>
    <w:rsid w:val="00EE703A"/>
    <w:rsid w:val="00EF5D22"/>
    <w:rsid w:val="00EF7A87"/>
    <w:rsid w:val="00F01877"/>
    <w:rsid w:val="00F07592"/>
    <w:rsid w:val="00F10674"/>
    <w:rsid w:val="00F12CB5"/>
    <w:rsid w:val="00F12EAC"/>
    <w:rsid w:val="00F359C2"/>
    <w:rsid w:val="00F427DD"/>
    <w:rsid w:val="00F4380E"/>
    <w:rsid w:val="00F53B1A"/>
    <w:rsid w:val="00F53E60"/>
    <w:rsid w:val="00F54646"/>
    <w:rsid w:val="00F61236"/>
    <w:rsid w:val="00F6581C"/>
    <w:rsid w:val="00F65FCC"/>
    <w:rsid w:val="00F677A7"/>
    <w:rsid w:val="00F75C1A"/>
    <w:rsid w:val="00F82BC5"/>
    <w:rsid w:val="00F8492E"/>
    <w:rsid w:val="00F9136F"/>
    <w:rsid w:val="00F969C1"/>
    <w:rsid w:val="00FA6983"/>
    <w:rsid w:val="00FB01A4"/>
    <w:rsid w:val="00FB6557"/>
    <w:rsid w:val="00FB73CF"/>
    <w:rsid w:val="00FC14A3"/>
    <w:rsid w:val="00FC14C8"/>
    <w:rsid w:val="00FC1AAC"/>
    <w:rsid w:val="00FC4B95"/>
    <w:rsid w:val="00FC6B44"/>
    <w:rsid w:val="00FD028B"/>
    <w:rsid w:val="00FD20ED"/>
    <w:rsid w:val="00FD3489"/>
    <w:rsid w:val="00FD6B13"/>
    <w:rsid w:val="00FD779A"/>
    <w:rsid w:val="00FD7EBC"/>
    <w:rsid w:val="00FE3D61"/>
    <w:rsid w:val="00FE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3342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77A7"/>
    <w:pPr>
      <w:spacing w:line="480" w:lineRule="auto"/>
      <w:ind w:firstLine="567"/>
    </w:pPr>
    <w:rPr>
      <w:rFonts w:ascii="Calibri" w:hAnsi="Calibri"/>
      <w:sz w:val="22"/>
    </w:rPr>
  </w:style>
  <w:style w:type="paragraph" w:styleId="Heading1">
    <w:name w:val="heading 1"/>
    <w:basedOn w:val="Normal"/>
    <w:next w:val="Normal"/>
    <w:link w:val="Heading1Char"/>
    <w:uiPriority w:val="9"/>
    <w:qFormat/>
    <w:rsid w:val="00F677A7"/>
    <w:pPr>
      <w:keepNext/>
      <w:keepLines/>
      <w:spacing w:before="240" w:after="360" w:line="240" w:lineRule="auto"/>
      <w:ind w:firstLine="0"/>
      <w:outlineLvl w:val="0"/>
    </w:pPr>
    <w:rPr>
      <w:rFonts w:asciiTheme="majorHAnsi" w:eastAsiaTheme="majorEastAsia" w:hAnsiTheme="majorHAnsi" w:cstheme="majorBidi"/>
      <w:b/>
      <w:bCs/>
      <w:szCs w:val="32"/>
    </w:rPr>
  </w:style>
  <w:style w:type="paragraph" w:styleId="Heading2">
    <w:name w:val="heading 2"/>
    <w:basedOn w:val="Normal"/>
    <w:next w:val="Normal"/>
    <w:link w:val="Heading2Char"/>
    <w:uiPriority w:val="9"/>
    <w:unhideWhenUsed/>
    <w:qFormat/>
    <w:rsid w:val="00944F5C"/>
    <w:pPr>
      <w:keepNext/>
      <w:keepLines/>
      <w:spacing w:before="240" w:after="360" w:line="240" w:lineRule="auto"/>
      <w:ind w:firstLine="0"/>
      <w:outlineLvl w:val="1"/>
    </w:pPr>
    <w:rPr>
      <w:rFonts w:asciiTheme="majorHAnsi" w:eastAsiaTheme="majorEastAsia" w:hAnsiTheme="majorHAnsi"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022375"/>
    <w:rPr>
      <w:vertAlign w:val="superscript"/>
    </w:rPr>
  </w:style>
  <w:style w:type="paragraph" w:styleId="EndnoteText">
    <w:name w:val="endnote text"/>
    <w:basedOn w:val="Normal"/>
    <w:link w:val="EndnoteTextChar"/>
    <w:uiPriority w:val="99"/>
    <w:unhideWhenUsed/>
    <w:rsid w:val="00022375"/>
  </w:style>
  <w:style w:type="character" w:customStyle="1" w:styleId="EndnoteTextChar">
    <w:name w:val="Endnote Text Char"/>
    <w:basedOn w:val="DefaultParagraphFont"/>
    <w:link w:val="EndnoteText"/>
    <w:uiPriority w:val="99"/>
    <w:rsid w:val="00022375"/>
    <w:rPr>
      <w:lang w:val="en-GB"/>
    </w:rPr>
  </w:style>
  <w:style w:type="paragraph" w:styleId="Quote">
    <w:name w:val="Quote"/>
    <w:basedOn w:val="Normal"/>
    <w:next w:val="Normal"/>
    <w:link w:val="QuoteChar"/>
    <w:autoRedefine/>
    <w:uiPriority w:val="29"/>
    <w:qFormat/>
    <w:rsid w:val="005E0D89"/>
    <w:pPr>
      <w:spacing w:after="360"/>
      <w:ind w:left="677" w:right="677" w:firstLine="0"/>
    </w:pPr>
    <w:rPr>
      <w:rFonts w:ascii="Times" w:hAnsi="Times"/>
      <w:iCs/>
      <w:sz w:val="24"/>
      <w:u w:color="000000"/>
    </w:rPr>
  </w:style>
  <w:style w:type="character" w:customStyle="1" w:styleId="QuoteChar">
    <w:name w:val="Quote Char"/>
    <w:basedOn w:val="DefaultParagraphFont"/>
    <w:link w:val="Quote"/>
    <w:uiPriority w:val="29"/>
    <w:rsid w:val="005E0D89"/>
    <w:rPr>
      <w:rFonts w:ascii="Times" w:hAnsi="Times"/>
      <w:iCs/>
      <w:u w:color="000000"/>
    </w:rPr>
  </w:style>
  <w:style w:type="paragraph" w:styleId="NoSpacing">
    <w:name w:val="No Spacing"/>
    <w:autoRedefine/>
    <w:uiPriority w:val="1"/>
    <w:qFormat/>
    <w:rsid w:val="005A7000"/>
    <w:pPr>
      <w:jc w:val="both"/>
    </w:pPr>
    <w:rPr>
      <w:rFonts w:ascii="Times" w:hAnsi="Times"/>
      <w:lang w:val="en-GB"/>
    </w:rPr>
  </w:style>
  <w:style w:type="paragraph" w:customStyle="1" w:styleId="SioBib">
    <w:name w:val="SioBib"/>
    <w:basedOn w:val="Normal"/>
    <w:qFormat/>
    <w:rsid w:val="005A7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pPr>
    <w:rPr>
      <w:rFonts w:asciiTheme="majorBidi" w:hAnsiTheme="majorBidi" w:cstheme="majorBidi"/>
      <w:bCs/>
    </w:rPr>
  </w:style>
  <w:style w:type="paragraph" w:customStyle="1" w:styleId="Preferred">
    <w:name w:val="Preferred"/>
    <w:qFormat/>
    <w:rsid w:val="003607E3"/>
    <w:rPr>
      <w:rFonts w:ascii="Calibri" w:hAnsi="Calibri"/>
    </w:rPr>
  </w:style>
  <w:style w:type="paragraph" w:customStyle="1" w:styleId="Questions">
    <w:name w:val="Questions"/>
    <w:basedOn w:val="Preferred"/>
    <w:qFormat/>
    <w:rsid w:val="002D240B"/>
    <w:pPr>
      <w:spacing w:after="120"/>
    </w:pPr>
    <w:rPr>
      <w:color w:val="76923C" w:themeColor="accent3" w:themeShade="BF"/>
    </w:rPr>
  </w:style>
  <w:style w:type="paragraph" w:customStyle="1" w:styleId="Name">
    <w:name w:val="Name"/>
    <w:basedOn w:val="Preferred"/>
    <w:qFormat/>
    <w:rsid w:val="001F06AA"/>
    <w:pPr>
      <w:spacing w:before="120" w:after="120"/>
    </w:pPr>
    <w:rPr>
      <w:u w:val="single"/>
    </w:rPr>
  </w:style>
  <w:style w:type="character" w:styleId="IntenseEmphasis">
    <w:name w:val="Intense Emphasis"/>
    <w:aliases w:val="Sub Heading_Dissertation"/>
    <w:basedOn w:val="DefaultParagraphFont"/>
    <w:uiPriority w:val="21"/>
    <w:qFormat/>
    <w:rsid w:val="009B737A"/>
    <w:rPr>
      <w:rFonts w:ascii="Calibri" w:hAnsi="Calibri"/>
      <w:b/>
      <w:bCs/>
      <w:i/>
      <w:iCs/>
      <w:color w:val="4F81BD" w:themeColor="accent1"/>
      <w:sz w:val="24"/>
    </w:rPr>
  </w:style>
  <w:style w:type="paragraph" w:styleId="IntenseQuote">
    <w:name w:val="Intense Quote"/>
    <w:aliases w:val="Interview"/>
    <w:basedOn w:val="Normal"/>
    <w:link w:val="IntenseQuoteChar"/>
    <w:uiPriority w:val="30"/>
    <w:qFormat/>
    <w:rsid w:val="00F677A7"/>
    <w:pPr>
      <w:spacing w:after="120" w:line="240" w:lineRule="auto"/>
      <w:ind w:left="680" w:right="680" w:firstLine="0"/>
      <w:jc w:val="both"/>
    </w:pPr>
  </w:style>
  <w:style w:type="character" w:customStyle="1" w:styleId="IntenseQuoteChar">
    <w:name w:val="Intense Quote Char"/>
    <w:aliases w:val="Interview Char"/>
    <w:basedOn w:val="DefaultParagraphFont"/>
    <w:link w:val="IntenseQuote"/>
    <w:uiPriority w:val="30"/>
    <w:rsid w:val="00F677A7"/>
    <w:rPr>
      <w:rFonts w:ascii="Calibri" w:hAnsi="Calibri"/>
      <w:sz w:val="22"/>
    </w:rPr>
  </w:style>
  <w:style w:type="paragraph" w:styleId="FootnoteText">
    <w:name w:val="footnote text"/>
    <w:basedOn w:val="Normal"/>
    <w:link w:val="FootnoteTextChar"/>
    <w:uiPriority w:val="99"/>
    <w:unhideWhenUsed/>
    <w:rsid w:val="007D50A4"/>
  </w:style>
  <w:style w:type="character" w:customStyle="1" w:styleId="FootnoteTextChar">
    <w:name w:val="Footnote Text Char"/>
    <w:basedOn w:val="DefaultParagraphFont"/>
    <w:link w:val="FootnoteText"/>
    <w:uiPriority w:val="99"/>
    <w:rsid w:val="007D50A4"/>
    <w:rPr>
      <w:rFonts w:ascii="Calibri" w:hAnsi="Calibri"/>
    </w:rPr>
  </w:style>
  <w:style w:type="character" w:styleId="FootnoteReference">
    <w:name w:val="footnote reference"/>
    <w:basedOn w:val="DefaultParagraphFont"/>
    <w:uiPriority w:val="99"/>
    <w:unhideWhenUsed/>
    <w:rsid w:val="007D50A4"/>
    <w:rPr>
      <w:vertAlign w:val="superscript"/>
    </w:rPr>
  </w:style>
  <w:style w:type="character" w:styleId="CommentReference">
    <w:name w:val="annotation reference"/>
    <w:basedOn w:val="DefaultParagraphFont"/>
    <w:uiPriority w:val="99"/>
    <w:semiHidden/>
    <w:unhideWhenUsed/>
    <w:rsid w:val="007D50A4"/>
    <w:rPr>
      <w:sz w:val="18"/>
      <w:szCs w:val="18"/>
    </w:rPr>
  </w:style>
  <w:style w:type="paragraph" w:styleId="CommentText">
    <w:name w:val="annotation text"/>
    <w:basedOn w:val="Normal"/>
    <w:link w:val="CommentTextChar"/>
    <w:uiPriority w:val="99"/>
    <w:semiHidden/>
    <w:unhideWhenUsed/>
    <w:rsid w:val="007D50A4"/>
  </w:style>
  <w:style w:type="character" w:customStyle="1" w:styleId="CommentTextChar">
    <w:name w:val="Comment Text Char"/>
    <w:basedOn w:val="DefaultParagraphFont"/>
    <w:link w:val="CommentText"/>
    <w:uiPriority w:val="99"/>
    <w:semiHidden/>
    <w:rsid w:val="007D50A4"/>
    <w:rPr>
      <w:rFonts w:ascii="Calibri" w:hAnsi="Calibri"/>
    </w:rPr>
  </w:style>
  <w:style w:type="paragraph" w:styleId="CommentSubject">
    <w:name w:val="annotation subject"/>
    <w:basedOn w:val="CommentText"/>
    <w:next w:val="CommentText"/>
    <w:link w:val="CommentSubjectChar"/>
    <w:uiPriority w:val="99"/>
    <w:semiHidden/>
    <w:unhideWhenUsed/>
    <w:rsid w:val="007D50A4"/>
    <w:rPr>
      <w:b/>
      <w:bCs/>
      <w:sz w:val="20"/>
      <w:szCs w:val="20"/>
    </w:rPr>
  </w:style>
  <w:style w:type="character" w:customStyle="1" w:styleId="CommentSubjectChar">
    <w:name w:val="Comment Subject Char"/>
    <w:basedOn w:val="CommentTextChar"/>
    <w:link w:val="CommentSubject"/>
    <w:uiPriority w:val="99"/>
    <w:semiHidden/>
    <w:rsid w:val="007D50A4"/>
    <w:rPr>
      <w:rFonts w:ascii="Calibri" w:hAnsi="Calibri"/>
      <w:b/>
      <w:bCs/>
      <w:sz w:val="20"/>
      <w:szCs w:val="20"/>
    </w:rPr>
  </w:style>
  <w:style w:type="paragraph" w:styleId="BalloonText">
    <w:name w:val="Balloon Text"/>
    <w:basedOn w:val="Normal"/>
    <w:link w:val="BalloonTextChar"/>
    <w:uiPriority w:val="99"/>
    <w:semiHidden/>
    <w:unhideWhenUsed/>
    <w:rsid w:val="007D50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0A4"/>
    <w:rPr>
      <w:rFonts w:ascii="Lucida Grande" w:hAnsi="Lucida Grande" w:cs="Lucida Grande"/>
      <w:sz w:val="18"/>
      <w:szCs w:val="18"/>
    </w:rPr>
  </w:style>
  <w:style w:type="paragraph" w:styleId="Header">
    <w:name w:val="header"/>
    <w:basedOn w:val="Normal"/>
    <w:link w:val="HeaderChar"/>
    <w:uiPriority w:val="99"/>
    <w:unhideWhenUsed/>
    <w:rsid w:val="007D50A4"/>
    <w:pPr>
      <w:tabs>
        <w:tab w:val="center" w:pos="4320"/>
        <w:tab w:val="right" w:pos="8640"/>
      </w:tabs>
    </w:pPr>
  </w:style>
  <w:style w:type="character" w:customStyle="1" w:styleId="HeaderChar">
    <w:name w:val="Header Char"/>
    <w:basedOn w:val="DefaultParagraphFont"/>
    <w:link w:val="Header"/>
    <w:uiPriority w:val="99"/>
    <w:rsid w:val="007D50A4"/>
    <w:rPr>
      <w:rFonts w:ascii="Calibri" w:hAnsi="Calibri"/>
    </w:rPr>
  </w:style>
  <w:style w:type="paragraph" w:styleId="Footer">
    <w:name w:val="footer"/>
    <w:basedOn w:val="Normal"/>
    <w:link w:val="FooterChar"/>
    <w:uiPriority w:val="99"/>
    <w:unhideWhenUsed/>
    <w:rsid w:val="007D50A4"/>
    <w:pPr>
      <w:tabs>
        <w:tab w:val="center" w:pos="4320"/>
        <w:tab w:val="right" w:pos="8640"/>
      </w:tabs>
    </w:pPr>
  </w:style>
  <w:style w:type="character" w:customStyle="1" w:styleId="FooterChar">
    <w:name w:val="Footer Char"/>
    <w:basedOn w:val="DefaultParagraphFont"/>
    <w:link w:val="Footer"/>
    <w:uiPriority w:val="99"/>
    <w:rsid w:val="007D50A4"/>
    <w:rPr>
      <w:rFonts w:ascii="Calibri" w:hAnsi="Calibri"/>
    </w:rPr>
  </w:style>
  <w:style w:type="character" w:styleId="PageNumber">
    <w:name w:val="page number"/>
    <w:basedOn w:val="DefaultParagraphFont"/>
    <w:uiPriority w:val="99"/>
    <w:semiHidden/>
    <w:unhideWhenUsed/>
    <w:rsid w:val="002B336F"/>
  </w:style>
  <w:style w:type="paragraph" w:customStyle="1" w:styleId="EndNoteBibliographyTitle">
    <w:name w:val="EndNote Bibliography Title"/>
    <w:basedOn w:val="Normal"/>
    <w:rsid w:val="002B336F"/>
    <w:pPr>
      <w:jc w:val="center"/>
    </w:pPr>
    <w:rPr>
      <w:sz w:val="24"/>
    </w:rPr>
  </w:style>
  <w:style w:type="paragraph" w:customStyle="1" w:styleId="EndNoteBibliography">
    <w:name w:val="EndNote Bibliography"/>
    <w:basedOn w:val="Normal"/>
    <w:rsid w:val="002B336F"/>
    <w:pPr>
      <w:spacing w:line="240" w:lineRule="auto"/>
    </w:pPr>
    <w:rPr>
      <w:sz w:val="24"/>
    </w:rPr>
  </w:style>
  <w:style w:type="character" w:customStyle="1" w:styleId="Heading1Char">
    <w:name w:val="Heading 1 Char"/>
    <w:basedOn w:val="DefaultParagraphFont"/>
    <w:link w:val="Heading1"/>
    <w:uiPriority w:val="9"/>
    <w:rsid w:val="00F677A7"/>
    <w:rPr>
      <w:rFonts w:asciiTheme="majorHAnsi" w:eastAsiaTheme="majorEastAsia" w:hAnsiTheme="majorHAnsi" w:cstheme="majorBidi"/>
      <w:b/>
      <w:bCs/>
      <w:sz w:val="22"/>
      <w:szCs w:val="32"/>
    </w:rPr>
  </w:style>
  <w:style w:type="character" w:customStyle="1" w:styleId="Heading2Char">
    <w:name w:val="Heading 2 Char"/>
    <w:basedOn w:val="DefaultParagraphFont"/>
    <w:link w:val="Heading2"/>
    <w:uiPriority w:val="9"/>
    <w:rsid w:val="00944F5C"/>
    <w:rPr>
      <w:rFonts w:asciiTheme="majorHAnsi" w:eastAsiaTheme="majorEastAsia" w:hAnsiTheme="majorHAnsi" w:cstheme="majorBidi"/>
      <w:bCs/>
      <w:i/>
      <w:sz w:val="22"/>
      <w:szCs w:val="26"/>
    </w:rPr>
  </w:style>
  <w:style w:type="character" w:styleId="Hyperlink">
    <w:name w:val="Hyperlink"/>
    <w:basedOn w:val="DefaultParagraphFont"/>
    <w:uiPriority w:val="99"/>
    <w:unhideWhenUsed/>
    <w:rsid w:val="00151FB2"/>
    <w:rPr>
      <w:color w:val="0000FF" w:themeColor="hyperlink"/>
      <w:u w:val="single"/>
    </w:rPr>
  </w:style>
  <w:style w:type="paragraph" w:customStyle="1" w:styleId="PoLAR">
    <w:name w:val="PoLAR"/>
    <w:basedOn w:val="Normal"/>
    <w:qFormat/>
    <w:rsid w:val="00380AAD"/>
    <w:pPr>
      <w:tabs>
        <w:tab w:val="right" w:pos="9360"/>
      </w:tabs>
      <w:spacing w:after="480"/>
      <w:ind w:firstLine="0"/>
    </w:pPr>
    <w:rPr>
      <w:rFonts w:ascii="Times" w:hAnsi="Times" w:cs="Arial"/>
      <w:sz w:val="24"/>
    </w:rPr>
  </w:style>
  <w:style w:type="paragraph" w:customStyle="1" w:styleId="PoLARBlockQuote">
    <w:name w:val="PoLAR_Block Quote"/>
    <w:basedOn w:val="PoLAR"/>
    <w:qFormat/>
    <w:rsid w:val="00F61236"/>
    <w:pPr>
      <w:ind w:right="1440"/>
    </w:pPr>
  </w:style>
  <w:style w:type="paragraph" w:styleId="Revision">
    <w:name w:val="Revision"/>
    <w:hidden/>
    <w:uiPriority w:val="99"/>
    <w:semiHidden/>
    <w:rsid w:val="000214D5"/>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8637">
      <w:bodyDiv w:val="1"/>
      <w:marLeft w:val="0"/>
      <w:marRight w:val="0"/>
      <w:marTop w:val="0"/>
      <w:marBottom w:val="0"/>
      <w:divBdr>
        <w:top w:val="none" w:sz="0" w:space="0" w:color="auto"/>
        <w:left w:val="none" w:sz="0" w:space="0" w:color="auto"/>
        <w:bottom w:val="none" w:sz="0" w:space="0" w:color="auto"/>
        <w:right w:val="none" w:sz="0" w:space="0" w:color="auto"/>
      </w:divBdr>
    </w:div>
    <w:div w:id="89011316">
      <w:bodyDiv w:val="1"/>
      <w:marLeft w:val="0"/>
      <w:marRight w:val="0"/>
      <w:marTop w:val="0"/>
      <w:marBottom w:val="0"/>
      <w:divBdr>
        <w:top w:val="none" w:sz="0" w:space="0" w:color="auto"/>
        <w:left w:val="none" w:sz="0" w:space="0" w:color="auto"/>
        <w:bottom w:val="none" w:sz="0" w:space="0" w:color="auto"/>
        <w:right w:val="none" w:sz="0" w:space="0" w:color="auto"/>
      </w:divBdr>
    </w:div>
    <w:div w:id="142816891">
      <w:bodyDiv w:val="1"/>
      <w:marLeft w:val="0"/>
      <w:marRight w:val="0"/>
      <w:marTop w:val="0"/>
      <w:marBottom w:val="0"/>
      <w:divBdr>
        <w:top w:val="none" w:sz="0" w:space="0" w:color="auto"/>
        <w:left w:val="none" w:sz="0" w:space="0" w:color="auto"/>
        <w:bottom w:val="none" w:sz="0" w:space="0" w:color="auto"/>
        <w:right w:val="none" w:sz="0" w:space="0" w:color="auto"/>
      </w:divBdr>
    </w:div>
    <w:div w:id="206795067">
      <w:bodyDiv w:val="1"/>
      <w:marLeft w:val="0"/>
      <w:marRight w:val="0"/>
      <w:marTop w:val="0"/>
      <w:marBottom w:val="0"/>
      <w:divBdr>
        <w:top w:val="none" w:sz="0" w:space="0" w:color="auto"/>
        <w:left w:val="none" w:sz="0" w:space="0" w:color="auto"/>
        <w:bottom w:val="none" w:sz="0" w:space="0" w:color="auto"/>
        <w:right w:val="none" w:sz="0" w:space="0" w:color="auto"/>
      </w:divBdr>
    </w:div>
    <w:div w:id="212927934">
      <w:bodyDiv w:val="1"/>
      <w:marLeft w:val="0"/>
      <w:marRight w:val="0"/>
      <w:marTop w:val="0"/>
      <w:marBottom w:val="0"/>
      <w:divBdr>
        <w:top w:val="none" w:sz="0" w:space="0" w:color="auto"/>
        <w:left w:val="none" w:sz="0" w:space="0" w:color="auto"/>
        <w:bottom w:val="none" w:sz="0" w:space="0" w:color="auto"/>
        <w:right w:val="none" w:sz="0" w:space="0" w:color="auto"/>
      </w:divBdr>
    </w:div>
    <w:div w:id="227808027">
      <w:bodyDiv w:val="1"/>
      <w:marLeft w:val="0"/>
      <w:marRight w:val="0"/>
      <w:marTop w:val="0"/>
      <w:marBottom w:val="0"/>
      <w:divBdr>
        <w:top w:val="none" w:sz="0" w:space="0" w:color="auto"/>
        <w:left w:val="none" w:sz="0" w:space="0" w:color="auto"/>
        <w:bottom w:val="none" w:sz="0" w:space="0" w:color="auto"/>
        <w:right w:val="none" w:sz="0" w:space="0" w:color="auto"/>
      </w:divBdr>
    </w:div>
    <w:div w:id="556672766">
      <w:bodyDiv w:val="1"/>
      <w:marLeft w:val="0"/>
      <w:marRight w:val="0"/>
      <w:marTop w:val="0"/>
      <w:marBottom w:val="0"/>
      <w:divBdr>
        <w:top w:val="none" w:sz="0" w:space="0" w:color="auto"/>
        <w:left w:val="none" w:sz="0" w:space="0" w:color="auto"/>
        <w:bottom w:val="none" w:sz="0" w:space="0" w:color="auto"/>
        <w:right w:val="none" w:sz="0" w:space="0" w:color="auto"/>
      </w:divBdr>
    </w:div>
    <w:div w:id="649554129">
      <w:bodyDiv w:val="1"/>
      <w:marLeft w:val="0"/>
      <w:marRight w:val="0"/>
      <w:marTop w:val="0"/>
      <w:marBottom w:val="0"/>
      <w:divBdr>
        <w:top w:val="none" w:sz="0" w:space="0" w:color="auto"/>
        <w:left w:val="none" w:sz="0" w:space="0" w:color="auto"/>
        <w:bottom w:val="none" w:sz="0" w:space="0" w:color="auto"/>
        <w:right w:val="none" w:sz="0" w:space="0" w:color="auto"/>
      </w:divBdr>
    </w:div>
    <w:div w:id="698745265">
      <w:bodyDiv w:val="1"/>
      <w:marLeft w:val="0"/>
      <w:marRight w:val="0"/>
      <w:marTop w:val="0"/>
      <w:marBottom w:val="0"/>
      <w:divBdr>
        <w:top w:val="none" w:sz="0" w:space="0" w:color="auto"/>
        <w:left w:val="none" w:sz="0" w:space="0" w:color="auto"/>
        <w:bottom w:val="none" w:sz="0" w:space="0" w:color="auto"/>
        <w:right w:val="none" w:sz="0" w:space="0" w:color="auto"/>
      </w:divBdr>
    </w:div>
    <w:div w:id="781417119">
      <w:bodyDiv w:val="1"/>
      <w:marLeft w:val="0"/>
      <w:marRight w:val="0"/>
      <w:marTop w:val="0"/>
      <w:marBottom w:val="0"/>
      <w:divBdr>
        <w:top w:val="none" w:sz="0" w:space="0" w:color="auto"/>
        <w:left w:val="none" w:sz="0" w:space="0" w:color="auto"/>
        <w:bottom w:val="none" w:sz="0" w:space="0" w:color="auto"/>
        <w:right w:val="none" w:sz="0" w:space="0" w:color="auto"/>
      </w:divBdr>
    </w:div>
    <w:div w:id="950287556">
      <w:bodyDiv w:val="1"/>
      <w:marLeft w:val="0"/>
      <w:marRight w:val="0"/>
      <w:marTop w:val="0"/>
      <w:marBottom w:val="0"/>
      <w:divBdr>
        <w:top w:val="none" w:sz="0" w:space="0" w:color="auto"/>
        <w:left w:val="none" w:sz="0" w:space="0" w:color="auto"/>
        <w:bottom w:val="none" w:sz="0" w:space="0" w:color="auto"/>
        <w:right w:val="none" w:sz="0" w:space="0" w:color="auto"/>
      </w:divBdr>
    </w:div>
    <w:div w:id="1012337532">
      <w:bodyDiv w:val="1"/>
      <w:marLeft w:val="0"/>
      <w:marRight w:val="0"/>
      <w:marTop w:val="0"/>
      <w:marBottom w:val="0"/>
      <w:divBdr>
        <w:top w:val="none" w:sz="0" w:space="0" w:color="auto"/>
        <w:left w:val="none" w:sz="0" w:space="0" w:color="auto"/>
        <w:bottom w:val="none" w:sz="0" w:space="0" w:color="auto"/>
        <w:right w:val="none" w:sz="0" w:space="0" w:color="auto"/>
      </w:divBdr>
    </w:div>
    <w:div w:id="1364601175">
      <w:bodyDiv w:val="1"/>
      <w:marLeft w:val="0"/>
      <w:marRight w:val="0"/>
      <w:marTop w:val="0"/>
      <w:marBottom w:val="0"/>
      <w:divBdr>
        <w:top w:val="none" w:sz="0" w:space="0" w:color="auto"/>
        <w:left w:val="none" w:sz="0" w:space="0" w:color="auto"/>
        <w:bottom w:val="none" w:sz="0" w:space="0" w:color="auto"/>
        <w:right w:val="none" w:sz="0" w:space="0" w:color="auto"/>
      </w:divBdr>
    </w:div>
    <w:div w:id="1418137393">
      <w:bodyDiv w:val="1"/>
      <w:marLeft w:val="0"/>
      <w:marRight w:val="0"/>
      <w:marTop w:val="0"/>
      <w:marBottom w:val="0"/>
      <w:divBdr>
        <w:top w:val="none" w:sz="0" w:space="0" w:color="auto"/>
        <w:left w:val="none" w:sz="0" w:space="0" w:color="auto"/>
        <w:bottom w:val="none" w:sz="0" w:space="0" w:color="auto"/>
        <w:right w:val="none" w:sz="0" w:space="0" w:color="auto"/>
      </w:divBdr>
    </w:div>
    <w:div w:id="1427382112">
      <w:bodyDiv w:val="1"/>
      <w:marLeft w:val="0"/>
      <w:marRight w:val="0"/>
      <w:marTop w:val="0"/>
      <w:marBottom w:val="0"/>
      <w:divBdr>
        <w:top w:val="none" w:sz="0" w:space="0" w:color="auto"/>
        <w:left w:val="none" w:sz="0" w:space="0" w:color="auto"/>
        <w:bottom w:val="none" w:sz="0" w:space="0" w:color="auto"/>
        <w:right w:val="none" w:sz="0" w:space="0" w:color="auto"/>
      </w:divBdr>
    </w:div>
    <w:div w:id="1477796979">
      <w:bodyDiv w:val="1"/>
      <w:marLeft w:val="0"/>
      <w:marRight w:val="0"/>
      <w:marTop w:val="0"/>
      <w:marBottom w:val="0"/>
      <w:divBdr>
        <w:top w:val="none" w:sz="0" w:space="0" w:color="auto"/>
        <w:left w:val="none" w:sz="0" w:space="0" w:color="auto"/>
        <w:bottom w:val="none" w:sz="0" w:space="0" w:color="auto"/>
        <w:right w:val="none" w:sz="0" w:space="0" w:color="auto"/>
      </w:divBdr>
    </w:div>
    <w:div w:id="1592733333">
      <w:bodyDiv w:val="1"/>
      <w:marLeft w:val="0"/>
      <w:marRight w:val="0"/>
      <w:marTop w:val="0"/>
      <w:marBottom w:val="0"/>
      <w:divBdr>
        <w:top w:val="none" w:sz="0" w:space="0" w:color="auto"/>
        <w:left w:val="none" w:sz="0" w:space="0" w:color="auto"/>
        <w:bottom w:val="none" w:sz="0" w:space="0" w:color="auto"/>
        <w:right w:val="none" w:sz="0" w:space="0" w:color="auto"/>
      </w:divBdr>
    </w:div>
    <w:div w:id="1609654276">
      <w:bodyDiv w:val="1"/>
      <w:marLeft w:val="0"/>
      <w:marRight w:val="0"/>
      <w:marTop w:val="0"/>
      <w:marBottom w:val="0"/>
      <w:divBdr>
        <w:top w:val="none" w:sz="0" w:space="0" w:color="auto"/>
        <w:left w:val="none" w:sz="0" w:space="0" w:color="auto"/>
        <w:bottom w:val="none" w:sz="0" w:space="0" w:color="auto"/>
        <w:right w:val="none" w:sz="0" w:space="0" w:color="auto"/>
      </w:divBdr>
    </w:div>
    <w:div w:id="1757824708">
      <w:bodyDiv w:val="1"/>
      <w:marLeft w:val="0"/>
      <w:marRight w:val="0"/>
      <w:marTop w:val="0"/>
      <w:marBottom w:val="0"/>
      <w:divBdr>
        <w:top w:val="none" w:sz="0" w:space="0" w:color="auto"/>
        <w:left w:val="none" w:sz="0" w:space="0" w:color="auto"/>
        <w:bottom w:val="none" w:sz="0" w:space="0" w:color="auto"/>
        <w:right w:val="none" w:sz="0" w:space="0" w:color="auto"/>
      </w:divBdr>
    </w:div>
    <w:div w:id="1775394211">
      <w:bodyDiv w:val="1"/>
      <w:marLeft w:val="0"/>
      <w:marRight w:val="0"/>
      <w:marTop w:val="0"/>
      <w:marBottom w:val="0"/>
      <w:divBdr>
        <w:top w:val="none" w:sz="0" w:space="0" w:color="auto"/>
        <w:left w:val="none" w:sz="0" w:space="0" w:color="auto"/>
        <w:bottom w:val="none" w:sz="0" w:space="0" w:color="auto"/>
        <w:right w:val="none" w:sz="0" w:space="0" w:color="auto"/>
      </w:divBdr>
    </w:div>
    <w:div w:id="1797747908">
      <w:bodyDiv w:val="1"/>
      <w:marLeft w:val="0"/>
      <w:marRight w:val="0"/>
      <w:marTop w:val="0"/>
      <w:marBottom w:val="0"/>
      <w:divBdr>
        <w:top w:val="none" w:sz="0" w:space="0" w:color="auto"/>
        <w:left w:val="none" w:sz="0" w:space="0" w:color="auto"/>
        <w:bottom w:val="none" w:sz="0" w:space="0" w:color="auto"/>
        <w:right w:val="none" w:sz="0" w:space="0" w:color="auto"/>
      </w:divBdr>
    </w:div>
    <w:div w:id="1899781088">
      <w:bodyDiv w:val="1"/>
      <w:marLeft w:val="0"/>
      <w:marRight w:val="0"/>
      <w:marTop w:val="0"/>
      <w:marBottom w:val="0"/>
      <w:divBdr>
        <w:top w:val="none" w:sz="0" w:space="0" w:color="auto"/>
        <w:left w:val="none" w:sz="0" w:space="0" w:color="auto"/>
        <w:bottom w:val="none" w:sz="0" w:space="0" w:color="auto"/>
        <w:right w:val="none" w:sz="0" w:space="0" w:color="auto"/>
      </w:divBdr>
    </w:div>
    <w:div w:id="2005741350">
      <w:bodyDiv w:val="1"/>
      <w:marLeft w:val="0"/>
      <w:marRight w:val="0"/>
      <w:marTop w:val="0"/>
      <w:marBottom w:val="0"/>
      <w:divBdr>
        <w:top w:val="none" w:sz="0" w:space="0" w:color="auto"/>
        <w:left w:val="none" w:sz="0" w:space="0" w:color="auto"/>
        <w:bottom w:val="none" w:sz="0" w:space="0" w:color="auto"/>
        <w:right w:val="none" w:sz="0" w:space="0" w:color="auto"/>
      </w:divBdr>
    </w:div>
    <w:div w:id="2035571288">
      <w:bodyDiv w:val="1"/>
      <w:marLeft w:val="0"/>
      <w:marRight w:val="0"/>
      <w:marTop w:val="0"/>
      <w:marBottom w:val="0"/>
      <w:divBdr>
        <w:top w:val="none" w:sz="0" w:space="0" w:color="auto"/>
        <w:left w:val="none" w:sz="0" w:space="0" w:color="auto"/>
        <w:bottom w:val="none" w:sz="0" w:space="0" w:color="auto"/>
        <w:right w:val="none" w:sz="0" w:space="0" w:color="auto"/>
      </w:divBdr>
    </w:div>
    <w:div w:id="2070640643">
      <w:bodyDiv w:val="1"/>
      <w:marLeft w:val="0"/>
      <w:marRight w:val="0"/>
      <w:marTop w:val="0"/>
      <w:marBottom w:val="0"/>
      <w:divBdr>
        <w:top w:val="none" w:sz="0" w:space="0" w:color="auto"/>
        <w:left w:val="none" w:sz="0" w:space="0" w:color="auto"/>
        <w:bottom w:val="none" w:sz="0" w:space="0" w:color="auto"/>
        <w:right w:val="none" w:sz="0" w:space="0" w:color="auto"/>
      </w:divBdr>
    </w:div>
    <w:div w:id="2079130830">
      <w:bodyDiv w:val="1"/>
      <w:marLeft w:val="0"/>
      <w:marRight w:val="0"/>
      <w:marTop w:val="0"/>
      <w:marBottom w:val="0"/>
      <w:divBdr>
        <w:top w:val="none" w:sz="0" w:space="0" w:color="auto"/>
        <w:left w:val="none" w:sz="0" w:space="0" w:color="auto"/>
        <w:bottom w:val="none" w:sz="0" w:space="0" w:color="auto"/>
        <w:right w:val="none" w:sz="0" w:space="0" w:color="auto"/>
      </w:divBdr>
    </w:div>
    <w:div w:id="2119523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uardianlv.com/2014/06/boston-pride-still-not-saf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A7CE-0F2E-CC4D-95B7-422FA7CA3990}">
  <ds:schemaRefs>
    <ds:schemaRef ds:uri="http://schemas.openxmlformats.org/officeDocument/2006/bibliography"/>
  </ds:schemaRefs>
</ds:datastoreItem>
</file>

<file path=customXml/itemProps2.xml><?xml version="1.0" encoding="utf-8"?>
<ds:datastoreItem xmlns:ds="http://schemas.openxmlformats.org/officeDocument/2006/customXml" ds:itemID="{9E337ABF-89BF-134A-9351-1B090BA2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8005</Words>
  <Characters>45629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2017-12-22T18:03:00Z</cp:lastPrinted>
  <dcterms:created xsi:type="dcterms:W3CDTF">2018-05-17T15:23:00Z</dcterms:created>
  <dcterms:modified xsi:type="dcterms:W3CDTF">2018-05-17T15:23:00Z</dcterms:modified>
</cp:coreProperties>
</file>