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A4E" w:rsidRDefault="00FD4229" w:rsidP="00CC355E">
      <w:pPr>
        <w:jc w:val="center"/>
        <w:rPr>
          <w:rFonts w:ascii="Times New Roman" w:hAnsi="Times New Roman" w:cs="Times New Roman"/>
          <w:b/>
          <w:sz w:val="24"/>
          <w:szCs w:val="24"/>
          <w:u w:val="single"/>
        </w:rPr>
      </w:pPr>
      <w:r>
        <w:rPr>
          <w:rFonts w:ascii="Times New Roman" w:hAnsi="Times New Roman" w:cs="Times New Roman"/>
          <w:b/>
          <w:sz w:val="24"/>
          <w:szCs w:val="24"/>
          <w:u w:val="single"/>
        </w:rPr>
        <w:t>History</w:t>
      </w:r>
      <w:r w:rsidR="00357A4E">
        <w:rPr>
          <w:rFonts w:ascii="Times New Roman" w:hAnsi="Times New Roman" w:cs="Times New Roman"/>
          <w:b/>
          <w:sz w:val="24"/>
          <w:szCs w:val="24"/>
          <w:u w:val="single"/>
        </w:rPr>
        <w:t xml:space="preserve"> of a Failure</w:t>
      </w:r>
      <w:r w:rsidR="00CC355E" w:rsidRPr="00CC355E">
        <w:rPr>
          <w:rFonts w:ascii="Times New Roman" w:hAnsi="Times New Roman" w:cs="Times New Roman"/>
          <w:b/>
          <w:sz w:val="24"/>
          <w:szCs w:val="24"/>
          <w:u w:val="single"/>
        </w:rPr>
        <w:t xml:space="preserve">: </w:t>
      </w:r>
    </w:p>
    <w:p w:rsidR="0056403B" w:rsidRDefault="00CC355E" w:rsidP="0056403B">
      <w:pPr>
        <w:jc w:val="center"/>
        <w:rPr>
          <w:rFonts w:ascii="Times New Roman" w:hAnsi="Times New Roman" w:cs="Times New Roman"/>
          <w:b/>
          <w:sz w:val="24"/>
          <w:szCs w:val="24"/>
          <w:u w:val="single"/>
        </w:rPr>
      </w:pPr>
      <w:r w:rsidRPr="00CC355E">
        <w:rPr>
          <w:rFonts w:ascii="Times New Roman" w:hAnsi="Times New Roman" w:cs="Times New Roman"/>
          <w:b/>
          <w:sz w:val="24"/>
          <w:szCs w:val="24"/>
          <w:u w:val="single"/>
        </w:rPr>
        <w:t>Attempts to Cre</w:t>
      </w:r>
      <w:r w:rsidR="00035C25">
        <w:rPr>
          <w:rFonts w:ascii="Times New Roman" w:hAnsi="Times New Roman" w:cs="Times New Roman"/>
          <w:b/>
          <w:sz w:val="24"/>
          <w:szCs w:val="24"/>
          <w:u w:val="single"/>
        </w:rPr>
        <w:t xml:space="preserve">ate </w:t>
      </w:r>
      <w:r w:rsidR="00140520">
        <w:rPr>
          <w:rFonts w:ascii="Times New Roman" w:hAnsi="Times New Roman" w:cs="Times New Roman"/>
          <w:b/>
          <w:sz w:val="24"/>
          <w:szCs w:val="24"/>
          <w:u w:val="single"/>
        </w:rPr>
        <w:t xml:space="preserve">a </w:t>
      </w:r>
      <w:r w:rsidR="00B26FF1">
        <w:rPr>
          <w:rFonts w:ascii="Times New Roman" w:hAnsi="Times New Roman" w:cs="Times New Roman"/>
          <w:b/>
          <w:sz w:val="24"/>
          <w:szCs w:val="24"/>
          <w:u w:val="single"/>
        </w:rPr>
        <w:t xml:space="preserve">National </w:t>
      </w:r>
      <w:r w:rsidR="00035C25">
        <w:rPr>
          <w:rFonts w:ascii="Times New Roman" w:hAnsi="Times New Roman" w:cs="Times New Roman"/>
          <w:b/>
          <w:sz w:val="24"/>
          <w:szCs w:val="24"/>
          <w:u w:val="single"/>
        </w:rPr>
        <w:t xml:space="preserve">Truth </w:t>
      </w:r>
      <w:r w:rsidR="00140520">
        <w:rPr>
          <w:rFonts w:ascii="Times New Roman" w:hAnsi="Times New Roman" w:cs="Times New Roman"/>
          <w:b/>
          <w:sz w:val="24"/>
          <w:szCs w:val="24"/>
          <w:u w:val="single"/>
        </w:rPr>
        <w:t>and Reconciliation Commission</w:t>
      </w:r>
      <w:r w:rsidR="00035C25">
        <w:rPr>
          <w:rFonts w:ascii="Times New Roman" w:hAnsi="Times New Roman" w:cs="Times New Roman"/>
          <w:b/>
          <w:sz w:val="24"/>
          <w:szCs w:val="24"/>
          <w:u w:val="single"/>
        </w:rPr>
        <w:t xml:space="preserve"> in Bosnia and </w:t>
      </w:r>
      <w:r w:rsidRPr="00CC355E">
        <w:rPr>
          <w:rFonts w:ascii="Times New Roman" w:hAnsi="Times New Roman" w:cs="Times New Roman"/>
          <w:b/>
          <w:sz w:val="24"/>
          <w:szCs w:val="24"/>
          <w:u w:val="single"/>
        </w:rPr>
        <w:t>Herzegovina</w:t>
      </w:r>
      <w:r w:rsidR="001D4352">
        <w:rPr>
          <w:rFonts w:ascii="Times New Roman" w:hAnsi="Times New Roman" w:cs="Times New Roman"/>
          <w:b/>
          <w:sz w:val="24"/>
          <w:szCs w:val="24"/>
          <w:u w:val="single"/>
        </w:rPr>
        <w:t>, 1997-2006</w:t>
      </w:r>
      <w:r w:rsidR="0056403B" w:rsidRPr="0056403B">
        <w:rPr>
          <w:rFonts w:ascii="Times New Roman" w:hAnsi="Times New Roman" w:cs="Times New Roman"/>
          <w:b/>
          <w:sz w:val="24"/>
          <w:szCs w:val="24"/>
          <w:u w:val="single"/>
        </w:rPr>
        <w:t xml:space="preserve"> </w:t>
      </w:r>
    </w:p>
    <w:p w:rsidR="00A94BDE" w:rsidRDefault="00A94BDE" w:rsidP="00FD5FAF">
      <w:pPr>
        <w:spacing w:after="0"/>
        <w:jc w:val="right"/>
        <w:rPr>
          <w:rFonts w:ascii="Times New Roman" w:hAnsi="Times New Roman" w:cs="Times New Roman"/>
          <w:sz w:val="24"/>
          <w:szCs w:val="24"/>
        </w:rPr>
      </w:pPr>
      <w:r>
        <w:rPr>
          <w:rFonts w:ascii="Times New Roman" w:hAnsi="Times New Roman" w:cs="Times New Roman"/>
          <w:sz w:val="24"/>
          <w:szCs w:val="24"/>
        </w:rPr>
        <w:t>Jasna Dragovic-Soso</w:t>
      </w:r>
    </w:p>
    <w:p w:rsidR="00A94BDE" w:rsidRDefault="00A94BDE" w:rsidP="00A94BDE">
      <w:pPr>
        <w:jc w:val="right"/>
        <w:rPr>
          <w:rFonts w:ascii="Times New Roman" w:hAnsi="Times New Roman" w:cs="Times New Roman"/>
          <w:sz w:val="24"/>
          <w:szCs w:val="24"/>
        </w:rPr>
      </w:pPr>
      <w:r>
        <w:rPr>
          <w:rFonts w:ascii="Times New Roman" w:hAnsi="Times New Roman" w:cs="Times New Roman"/>
          <w:sz w:val="24"/>
          <w:szCs w:val="24"/>
        </w:rPr>
        <w:t>Goldsmiths, University of London</w:t>
      </w:r>
    </w:p>
    <w:p w:rsidR="00FD5FAF" w:rsidRDefault="00FD5FAF" w:rsidP="00FD5FAF">
      <w:pPr>
        <w:spacing w:after="0"/>
        <w:jc w:val="right"/>
        <w:rPr>
          <w:rFonts w:ascii="Times New Roman" w:hAnsi="Times New Roman" w:cs="Times New Roman"/>
          <w:sz w:val="24"/>
          <w:szCs w:val="24"/>
        </w:rPr>
      </w:pPr>
      <w:r>
        <w:rPr>
          <w:rFonts w:ascii="Times New Roman" w:hAnsi="Times New Roman" w:cs="Times New Roman"/>
          <w:sz w:val="24"/>
          <w:szCs w:val="24"/>
        </w:rPr>
        <w:t xml:space="preserve">Accepted for publication at </w:t>
      </w:r>
      <w:r w:rsidRPr="00FD5FAF">
        <w:rPr>
          <w:rFonts w:ascii="Times New Roman" w:hAnsi="Times New Roman" w:cs="Times New Roman"/>
          <w:i/>
          <w:sz w:val="24"/>
          <w:szCs w:val="24"/>
        </w:rPr>
        <w:t>International Journal of Transitional Justice</w:t>
      </w:r>
    </w:p>
    <w:p w:rsidR="00FD5FAF" w:rsidRDefault="00FD5FAF" w:rsidP="00FD5FAF">
      <w:pPr>
        <w:spacing w:after="0"/>
        <w:jc w:val="right"/>
        <w:rPr>
          <w:rFonts w:ascii="Times New Roman" w:hAnsi="Times New Roman" w:cs="Times New Roman"/>
          <w:sz w:val="24"/>
          <w:szCs w:val="24"/>
        </w:rPr>
      </w:pPr>
      <w:r>
        <w:rPr>
          <w:rFonts w:ascii="Times New Roman" w:hAnsi="Times New Roman" w:cs="Times New Roman"/>
          <w:sz w:val="24"/>
          <w:szCs w:val="24"/>
        </w:rPr>
        <w:t>forthcoming July 2016</w:t>
      </w:r>
    </w:p>
    <w:p w:rsidR="00FD5FAF" w:rsidRDefault="00FD5FAF" w:rsidP="00FD5FAF">
      <w:pPr>
        <w:spacing w:before="120" w:line="240" w:lineRule="atLeast"/>
        <w:jc w:val="right"/>
        <w:outlineLvl w:val="3"/>
        <w:rPr>
          <w:rFonts w:ascii="Verdana" w:eastAsia="Times New Roman" w:hAnsi="Verdana"/>
          <w:b/>
          <w:bCs/>
          <w:color w:val="000000"/>
          <w:sz w:val="17"/>
          <w:szCs w:val="17"/>
        </w:rPr>
      </w:pPr>
      <w:bookmarkStart w:id="0" w:name="_GoBack"/>
      <w:bookmarkEnd w:id="0"/>
      <w:r>
        <w:rPr>
          <w:rFonts w:ascii="Verdana" w:eastAsia="Times New Roman" w:hAnsi="Verdana"/>
          <w:b/>
          <w:bCs/>
          <w:color w:val="000000"/>
          <w:sz w:val="17"/>
          <w:szCs w:val="17"/>
        </w:rPr>
        <w:t>Abstract:</w:t>
      </w:r>
    </w:p>
    <w:p w:rsidR="00FD5FAF" w:rsidRDefault="00FD5FAF" w:rsidP="00FD5FAF">
      <w:pPr>
        <w:pStyle w:val="main"/>
        <w:jc w:val="right"/>
      </w:pPr>
      <w:hyperlink r:id="rId9" w:history="1">
        <w:r>
          <w:rPr>
            <w:rStyle w:val="Hyperlink"/>
          </w:rPr>
          <w:t>http://ijtj.oxfordjournals.org/cgi/content/abstract/ijw005?</w:t>
        </w:r>
        <w:r>
          <w:rPr>
            <w:color w:val="0000FF"/>
            <w:u w:val="single"/>
          </w:rPr>
          <w:br/>
        </w:r>
        <w:r>
          <w:rPr>
            <w:rStyle w:val="Hyperlink"/>
          </w:rPr>
          <w:t xml:space="preserve">ijkey=ypVrHVdqsygLW5N&amp;keytype=ref </w:t>
        </w:r>
      </w:hyperlink>
    </w:p>
    <w:p w:rsidR="00FD5FAF" w:rsidRDefault="00FD5FAF" w:rsidP="00FD5FAF">
      <w:pPr>
        <w:spacing w:before="120" w:line="240" w:lineRule="atLeast"/>
        <w:jc w:val="right"/>
        <w:outlineLvl w:val="3"/>
        <w:rPr>
          <w:rFonts w:ascii="Verdana" w:eastAsia="Times New Roman" w:hAnsi="Verdana"/>
          <w:b/>
          <w:bCs/>
          <w:color w:val="000000"/>
          <w:sz w:val="17"/>
          <w:szCs w:val="17"/>
        </w:rPr>
      </w:pPr>
      <w:r>
        <w:rPr>
          <w:rFonts w:ascii="Verdana" w:eastAsia="Times New Roman" w:hAnsi="Verdana"/>
          <w:b/>
          <w:bCs/>
          <w:color w:val="000000"/>
          <w:sz w:val="17"/>
          <w:szCs w:val="17"/>
        </w:rPr>
        <w:t>Full Text:</w:t>
      </w:r>
    </w:p>
    <w:p w:rsidR="00FD5FAF" w:rsidRDefault="00FD5FAF" w:rsidP="00FD5FAF">
      <w:pPr>
        <w:pStyle w:val="main"/>
        <w:jc w:val="right"/>
      </w:pPr>
      <w:hyperlink r:id="rId10" w:history="1">
        <w:r>
          <w:rPr>
            <w:rStyle w:val="Hyperlink"/>
          </w:rPr>
          <w:t>http://ijtj.oxfordjournals.org/cgi/content/full/ijw005?</w:t>
        </w:r>
        <w:r>
          <w:rPr>
            <w:color w:val="0000FF"/>
            <w:u w:val="single"/>
          </w:rPr>
          <w:br/>
        </w:r>
        <w:r>
          <w:rPr>
            <w:rStyle w:val="Hyperlink"/>
          </w:rPr>
          <w:t xml:space="preserve">ijkey=ypVrHVdqsygLW5N&amp;keytype=ref </w:t>
        </w:r>
      </w:hyperlink>
    </w:p>
    <w:p w:rsidR="00FD5FAF" w:rsidRDefault="00FD5FAF" w:rsidP="00FD5FAF">
      <w:pPr>
        <w:spacing w:before="120" w:line="240" w:lineRule="atLeast"/>
        <w:jc w:val="right"/>
        <w:outlineLvl w:val="3"/>
        <w:rPr>
          <w:rFonts w:ascii="Verdana" w:eastAsia="Times New Roman" w:hAnsi="Verdana"/>
          <w:b/>
          <w:bCs/>
          <w:color w:val="000000"/>
          <w:sz w:val="17"/>
          <w:szCs w:val="17"/>
        </w:rPr>
      </w:pPr>
      <w:r>
        <w:rPr>
          <w:rFonts w:ascii="Verdana" w:eastAsia="Times New Roman" w:hAnsi="Verdana"/>
          <w:b/>
          <w:bCs/>
          <w:color w:val="000000"/>
          <w:sz w:val="17"/>
          <w:szCs w:val="17"/>
        </w:rPr>
        <w:t>PDF:</w:t>
      </w:r>
    </w:p>
    <w:p w:rsidR="00A94BDE" w:rsidRDefault="00FD5FAF" w:rsidP="00FD5FAF">
      <w:pPr>
        <w:jc w:val="right"/>
        <w:rPr>
          <w:rFonts w:ascii="Times New Roman" w:hAnsi="Times New Roman" w:cs="Times New Roman"/>
          <w:sz w:val="24"/>
          <w:szCs w:val="24"/>
        </w:rPr>
      </w:pPr>
      <w:hyperlink r:id="rId11" w:history="1">
        <w:r>
          <w:rPr>
            <w:rStyle w:val="Hyperlink"/>
          </w:rPr>
          <w:t>http://ijtj.oxfordjournals.org/cgi/reprint/ijw005?</w:t>
        </w:r>
        <w:r>
          <w:rPr>
            <w:color w:val="0000FF"/>
            <w:u w:val="single"/>
          </w:rPr>
          <w:br/>
        </w:r>
        <w:r>
          <w:rPr>
            <w:rStyle w:val="Hyperlink"/>
          </w:rPr>
          <w:t xml:space="preserve">ijkey=ypVrHVdqsygLW5N&amp;keytype=ref </w:t>
        </w:r>
      </w:hyperlink>
    </w:p>
    <w:p w:rsidR="00A94BDE" w:rsidRDefault="00A94BDE" w:rsidP="00A94BDE">
      <w:pPr>
        <w:rPr>
          <w:rFonts w:ascii="Times New Roman" w:hAnsi="Times New Roman" w:cs="Times New Roman"/>
          <w:sz w:val="24"/>
          <w:szCs w:val="24"/>
        </w:rPr>
      </w:pPr>
      <w:r w:rsidRPr="009204AA">
        <w:rPr>
          <w:rFonts w:ascii="Times New Roman" w:hAnsi="Times New Roman" w:cs="Times New Roman"/>
          <w:b/>
          <w:i/>
          <w:sz w:val="24"/>
          <w:szCs w:val="24"/>
        </w:rPr>
        <w:t>Abstract:</w:t>
      </w:r>
      <w:r>
        <w:rPr>
          <w:rFonts w:ascii="Times New Roman" w:hAnsi="Times New Roman" w:cs="Times New Roman"/>
          <w:sz w:val="24"/>
          <w:szCs w:val="24"/>
        </w:rPr>
        <w:t xml:space="preserve"> Several initiatives to create a national Truth and Reconciliation Commission (TRC) for Bosnia and Herzegovina were launched between 1997 and 2006, but none came to fruition. This article explains the rationale behind the pursuit of a truth telling mechanism alongside the existing International Criminal Tribunal (ICTY), as well as the resistance to such initiatives both internationally and domestically. It argues that, despite the considerable efforts of external actors to create a TRC for Bosnia, the project foundered for three principal reasons: political resistance, institutional rivalry between the ICTY and the TRC project, and the proposed TRC project’s lack of legitimacy, notably among Bosnia’s victim associations. The history of the failed TRC project in Bosnia holds important lessons for ongoing truth-seeking attempts in the region and beyond, and highlights problems that arise in post-conflict societies with a high level of international involvement.</w:t>
      </w:r>
    </w:p>
    <w:p w:rsidR="00C87835" w:rsidRDefault="00C87835" w:rsidP="0056403B">
      <w:pPr>
        <w:jc w:val="center"/>
        <w:rPr>
          <w:rFonts w:ascii="Times New Roman" w:hAnsi="Times New Roman" w:cs="Times New Roman"/>
          <w:sz w:val="24"/>
          <w:szCs w:val="24"/>
        </w:rPr>
      </w:pPr>
    </w:p>
    <w:p w:rsidR="0056403B" w:rsidRDefault="00B852FE" w:rsidP="00E72DCF">
      <w:pPr>
        <w:spacing w:line="360" w:lineRule="auto"/>
        <w:rPr>
          <w:rFonts w:ascii="Times New Roman" w:hAnsi="Times New Roman" w:cs="Times New Roman"/>
          <w:sz w:val="24"/>
          <w:szCs w:val="24"/>
        </w:rPr>
      </w:pPr>
      <w:r>
        <w:rPr>
          <w:rFonts w:ascii="Times New Roman" w:hAnsi="Times New Roman" w:cs="Times New Roman"/>
          <w:sz w:val="24"/>
          <w:szCs w:val="24"/>
        </w:rPr>
        <w:tab/>
        <w:t xml:space="preserve">Truth commissions have evolved </w:t>
      </w:r>
      <w:r w:rsidR="00FD4229">
        <w:rPr>
          <w:rFonts w:ascii="Times New Roman" w:hAnsi="Times New Roman" w:cs="Times New Roman"/>
          <w:sz w:val="24"/>
          <w:szCs w:val="24"/>
        </w:rPr>
        <w:t>since the 1990s</w:t>
      </w:r>
      <w:r>
        <w:rPr>
          <w:rFonts w:ascii="Times New Roman" w:hAnsi="Times New Roman" w:cs="Times New Roman"/>
          <w:sz w:val="24"/>
          <w:szCs w:val="24"/>
        </w:rPr>
        <w:t xml:space="preserve"> into one of the principal </w:t>
      </w:r>
      <w:r w:rsidR="00190E3D">
        <w:rPr>
          <w:rFonts w:ascii="Times New Roman" w:hAnsi="Times New Roman" w:cs="Times New Roman"/>
          <w:sz w:val="24"/>
          <w:szCs w:val="24"/>
        </w:rPr>
        <w:t>mechanism</w:t>
      </w:r>
      <w:r>
        <w:rPr>
          <w:rFonts w:ascii="Times New Roman" w:hAnsi="Times New Roman" w:cs="Times New Roman"/>
          <w:sz w:val="24"/>
          <w:szCs w:val="24"/>
        </w:rPr>
        <w:t xml:space="preserve">s of transitional justice in societies emerging from periods of conflict and </w:t>
      </w:r>
      <w:r w:rsidR="00190E3D">
        <w:rPr>
          <w:rFonts w:ascii="Times New Roman" w:hAnsi="Times New Roman" w:cs="Times New Roman"/>
          <w:sz w:val="24"/>
          <w:szCs w:val="24"/>
        </w:rPr>
        <w:t xml:space="preserve">authoritarianism, </w:t>
      </w:r>
      <w:r>
        <w:rPr>
          <w:rFonts w:ascii="Times New Roman" w:hAnsi="Times New Roman" w:cs="Times New Roman"/>
          <w:sz w:val="24"/>
          <w:szCs w:val="24"/>
        </w:rPr>
        <w:t>and are now a staple of international peacebuilding efforts.</w:t>
      </w:r>
      <w:r>
        <w:rPr>
          <w:rStyle w:val="FootnoteReference"/>
          <w:rFonts w:ascii="Times New Roman" w:hAnsi="Times New Roman" w:cs="Times New Roman"/>
          <w:sz w:val="24"/>
          <w:szCs w:val="24"/>
        </w:rPr>
        <w:footnoteReference w:id="1"/>
      </w:r>
      <w:r>
        <w:rPr>
          <w:rFonts w:ascii="Times New Roman" w:hAnsi="Times New Roman" w:cs="Times New Roman"/>
          <w:sz w:val="24"/>
          <w:szCs w:val="24"/>
        </w:rPr>
        <w:t xml:space="preserve"> Whereas initially </w:t>
      </w:r>
      <w:r w:rsidR="00C9749B">
        <w:rPr>
          <w:rFonts w:ascii="Times New Roman" w:hAnsi="Times New Roman" w:cs="Times New Roman"/>
          <w:sz w:val="24"/>
          <w:szCs w:val="24"/>
        </w:rPr>
        <w:t>they</w:t>
      </w:r>
      <w:r>
        <w:rPr>
          <w:rFonts w:ascii="Times New Roman" w:hAnsi="Times New Roman" w:cs="Times New Roman"/>
          <w:sz w:val="24"/>
          <w:szCs w:val="24"/>
        </w:rPr>
        <w:t xml:space="preserve"> were viewed as a second best option for achieving accountability when prosecutions were </w:t>
      </w:r>
      <w:r w:rsidR="00190E3D">
        <w:rPr>
          <w:rFonts w:ascii="Times New Roman" w:hAnsi="Times New Roman" w:cs="Times New Roman"/>
          <w:sz w:val="24"/>
          <w:szCs w:val="24"/>
        </w:rPr>
        <w:t>im</w:t>
      </w:r>
      <w:r>
        <w:rPr>
          <w:rFonts w:ascii="Times New Roman" w:hAnsi="Times New Roman" w:cs="Times New Roman"/>
          <w:sz w:val="24"/>
          <w:szCs w:val="24"/>
        </w:rPr>
        <w:t xml:space="preserve">possible, </w:t>
      </w:r>
      <w:r w:rsidR="000203C2">
        <w:rPr>
          <w:rFonts w:ascii="Times New Roman" w:hAnsi="Times New Roman" w:cs="Times New Roman"/>
          <w:sz w:val="24"/>
          <w:szCs w:val="24"/>
        </w:rPr>
        <w:t>over time</w:t>
      </w:r>
      <w:r>
        <w:rPr>
          <w:rFonts w:ascii="Times New Roman" w:hAnsi="Times New Roman" w:cs="Times New Roman"/>
          <w:sz w:val="24"/>
          <w:szCs w:val="24"/>
        </w:rPr>
        <w:t xml:space="preserve"> they increasingly bec</w:t>
      </w:r>
      <w:r w:rsidR="0042353C">
        <w:rPr>
          <w:rFonts w:ascii="Times New Roman" w:hAnsi="Times New Roman" w:cs="Times New Roman"/>
          <w:sz w:val="24"/>
          <w:szCs w:val="24"/>
        </w:rPr>
        <w:t>a</w:t>
      </w:r>
      <w:r>
        <w:rPr>
          <w:rFonts w:ascii="Times New Roman" w:hAnsi="Times New Roman" w:cs="Times New Roman"/>
          <w:sz w:val="24"/>
          <w:szCs w:val="24"/>
        </w:rPr>
        <w:t>me regarded as worthy mechanisms in their own right and a complement rather than a substitute to trials.</w:t>
      </w:r>
      <w:r>
        <w:rPr>
          <w:rStyle w:val="FootnoteReference"/>
          <w:rFonts w:ascii="Times New Roman" w:hAnsi="Times New Roman" w:cs="Times New Roman"/>
          <w:sz w:val="24"/>
          <w:szCs w:val="24"/>
        </w:rPr>
        <w:footnoteReference w:id="2"/>
      </w:r>
      <w:r w:rsidR="00236A08">
        <w:rPr>
          <w:rFonts w:ascii="Times New Roman" w:hAnsi="Times New Roman" w:cs="Times New Roman"/>
          <w:sz w:val="24"/>
          <w:szCs w:val="24"/>
        </w:rPr>
        <w:t xml:space="preserve"> </w:t>
      </w:r>
      <w:r w:rsidR="00A4781E">
        <w:rPr>
          <w:rFonts w:ascii="Times New Roman" w:hAnsi="Times New Roman" w:cs="Times New Roman"/>
          <w:sz w:val="24"/>
          <w:szCs w:val="24"/>
        </w:rPr>
        <w:t xml:space="preserve">In a </w:t>
      </w:r>
      <w:r w:rsidR="00A4781E">
        <w:rPr>
          <w:rFonts w:ascii="Times New Roman" w:hAnsi="Times New Roman" w:cs="Times New Roman"/>
          <w:sz w:val="24"/>
          <w:szCs w:val="24"/>
        </w:rPr>
        <w:lastRenderedPageBreak/>
        <w:t xml:space="preserve">variety of settings, truth commissions </w:t>
      </w:r>
      <w:r w:rsidR="00E34CA4">
        <w:rPr>
          <w:rFonts w:ascii="Times New Roman" w:hAnsi="Times New Roman" w:cs="Times New Roman"/>
          <w:sz w:val="24"/>
          <w:szCs w:val="24"/>
        </w:rPr>
        <w:t>aided</w:t>
      </w:r>
      <w:r w:rsidR="00A4781E">
        <w:rPr>
          <w:rFonts w:ascii="Times New Roman" w:hAnsi="Times New Roman" w:cs="Times New Roman"/>
          <w:sz w:val="24"/>
          <w:szCs w:val="24"/>
        </w:rPr>
        <w:t xml:space="preserve"> peaceful political transitions, counter</w:t>
      </w:r>
      <w:r w:rsidR="00F87ED6">
        <w:rPr>
          <w:rFonts w:ascii="Times New Roman" w:hAnsi="Times New Roman" w:cs="Times New Roman"/>
          <w:sz w:val="24"/>
          <w:szCs w:val="24"/>
        </w:rPr>
        <w:t>ed</w:t>
      </w:r>
      <w:r w:rsidR="00A4781E">
        <w:rPr>
          <w:rFonts w:ascii="Times New Roman" w:hAnsi="Times New Roman" w:cs="Times New Roman"/>
          <w:sz w:val="24"/>
          <w:szCs w:val="24"/>
        </w:rPr>
        <w:t xml:space="preserve"> political and social denial and pave</w:t>
      </w:r>
      <w:r w:rsidR="00F87ED6">
        <w:rPr>
          <w:rFonts w:ascii="Times New Roman" w:hAnsi="Times New Roman" w:cs="Times New Roman"/>
          <w:sz w:val="24"/>
          <w:szCs w:val="24"/>
        </w:rPr>
        <w:t>d</w:t>
      </w:r>
      <w:r w:rsidR="00A4781E">
        <w:rPr>
          <w:rFonts w:ascii="Times New Roman" w:hAnsi="Times New Roman" w:cs="Times New Roman"/>
          <w:sz w:val="24"/>
          <w:szCs w:val="24"/>
        </w:rPr>
        <w:t xml:space="preserve"> the way for </w:t>
      </w:r>
      <w:r w:rsidR="00F67578">
        <w:rPr>
          <w:rFonts w:ascii="Times New Roman" w:hAnsi="Times New Roman" w:cs="Times New Roman"/>
          <w:sz w:val="24"/>
          <w:szCs w:val="24"/>
        </w:rPr>
        <w:t>addressing</w:t>
      </w:r>
      <w:r w:rsidR="00A4781E">
        <w:rPr>
          <w:rFonts w:ascii="Times New Roman" w:hAnsi="Times New Roman" w:cs="Times New Roman"/>
          <w:sz w:val="24"/>
          <w:szCs w:val="24"/>
        </w:rPr>
        <w:t xml:space="preserve"> the legacy of past crimes.</w:t>
      </w:r>
      <w:r w:rsidR="007A021B">
        <w:rPr>
          <w:rStyle w:val="FootnoteReference"/>
          <w:rFonts w:ascii="Times New Roman" w:hAnsi="Times New Roman" w:cs="Times New Roman"/>
          <w:sz w:val="24"/>
          <w:szCs w:val="24"/>
        </w:rPr>
        <w:footnoteReference w:id="3"/>
      </w:r>
      <w:r w:rsidR="00E66FA6">
        <w:rPr>
          <w:rFonts w:ascii="Times New Roman" w:hAnsi="Times New Roman" w:cs="Times New Roman"/>
          <w:sz w:val="24"/>
          <w:szCs w:val="24"/>
        </w:rPr>
        <w:t xml:space="preserve"> </w:t>
      </w:r>
      <w:r w:rsidR="00727FA4">
        <w:rPr>
          <w:rFonts w:ascii="Times New Roman" w:hAnsi="Times New Roman" w:cs="Times New Roman"/>
          <w:sz w:val="24"/>
          <w:szCs w:val="24"/>
        </w:rPr>
        <w:t xml:space="preserve">However, post-conflict societies have </w:t>
      </w:r>
      <w:r w:rsidR="00F87ED6">
        <w:rPr>
          <w:rFonts w:ascii="Times New Roman" w:hAnsi="Times New Roman" w:cs="Times New Roman"/>
          <w:sz w:val="24"/>
          <w:szCs w:val="24"/>
        </w:rPr>
        <w:t xml:space="preserve">also </w:t>
      </w:r>
      <w:r w:rsidR="00727FA4">
        <w:rPr>
          <w:rFonts w:ascii="Times New Roman" w:hAnsi="Times New Roman" w:cs="Times New Roman"/>
          <w:sz w:val="24"/>
          <w:szCs w:val="24"/>
        </w:rPr>
        <w:t xml:space="preserve">seen many attempts </w:t>
      </w:r>
      <w:r w:rsidR="00D3296E">
        <w:rPr>
          <w:rFonts w:ascii="Times New Roman" w:hAnsi="Times New Roman" w:cs="Times New Roman"/>
          <w:sz w:val="24"/>
          <w:szCs w:val="24"/>
        </w:rPr>
        <w:t>at</w:t>
      </w:r>
      <w:r w:rsidR="00727FA4">
        <w:rPr>
          <w:rFonts w:ascii="Times New Roman" w:hAnsi="Times New Roman" w:cs="Times New Roman"/>
          <w:sz w:val="24"/>
          <w:szCs w:val="24"/>
        </w:rPr>
        <w:t xml:space="preserve"> truth com</w:t>
      </w:r>
      <w:r w:rsidR="00B26150">
        <w:rPr>
          <w:rFonts w:ascii="Times New Roman" w:hAnsi="Times New Roman" w:cs="Times New Roman"/>
          <w:sz w:val="24"/>
          <w:szCs w:val="24"/>
        </w:rPr>
        <w:t>missions that d</w:t>
      </w:r>
      <w:r w:rsidR="004265A4">
        <w:rPr>
          <w:rFonts w:ascii="Times New Roman" w:hAnsi="Times New Roman" w:cs="Times New Roman"/>
          <w:sz w:val="24"/>
          <w:szCs w:val="24"/>
        </w:rPr>
        <w:t>id</w:t>
      </w:r>
      <w:r w:rsidR="00B26150">
        <w:rPr>
          <w:rFonts w:ascii="Times New Roman" w:hAnsi="Times New Roman" w:cs="Times New Roman"/>
          <w:sz w:val="24"/>
          <w:szCs w:val="24"/>
        </w:rPr>
        <w:t xml:space="preserve"> not bear fruit</w:t>
      </w:r>
      <w:r w:rsidR="00945EDE">
        <w:rPr>
          <w:rFonts w:ascii="Times New Roman" w:hAnsi="Times New Roman" w:cs="Times New Roman"/>
          <w:sz w:val="24"/>
          <w:szCs w:val="24"/>
        </w:rPr>
        <w:t>, giving rise to what Erin Daly has called ‘truth skepticism’</w:t>
      </w:r>
      <w:r w:rsidR="00B26150">
        <w:rPr>
          <w:rFonts w:ascii="Times New Roman" w:hAnsi="Times New Roman" w:cs="Times New Roman"/>
          <w:sz w:val="24"/>
          <w:szCs w:val="24"/>
        </w:rPr>
        <w:t>.</w:t>
      </w:r>
      <w:r w:rsidR="00945EDE">
        <w:rPr>
          <w:rStyle w:val="FootnoteReference"/>
          <w:rFonts w:ascii="Times New Roman" w:hAnsi="Times New Roman" w:cs="Times New Roman"/>
          <w:sz w:val="24"/>
          <w:szCs w:val="24"/>
        </w:rPr>
        <w:footnoteReference w:id="4"/>
      </w:r>
      <w:r w:rsidR="008E6F8A">
        <w:rPr>
          <w:rFonts w:ascii="Times New Roman" w:hAnsi="Times New Roman" w:cs="Times New Roman"/>
          <w:sz w:val="24"/>
          <w:szCs w:val="24"/>
        </w:rPr>
        <w:t xml:space="preserve"> N</w:t>
      </w:r>
      <w:r w:rsidR="00727FA4">
        <w:rPr>
          <w:rFonts w:ascii="Times New Roman" w:hAnsi="Times New Roman" w:cs="Times New Roman"/>
          <w:sz w:val="24"/>
          <w:szCs w:val="24"/>
        </w:rPr>
        <w:t>ot only d</w:t>
      </w:r>
      <w:r w:rsidR="00B52DDC">
        <w:rPr>
          <w:rFonts w:ascii="Times New Roman" w:hAnsi="Times New Roman" w:cs="Times New Roman"/>
          <w:sz w:val="24"/>
          <w:szCs w:val="24"/>
        </w:rPr>
        <w:t>id</w:t>
      </w:r>
      <w:r w:rsidR="00727FA4">
        <w:rPr>
          <w:rFonts w:ascii="Times New Roman" w:hAnsi="Times New Roman" w:cs="Times New Roman"/>
          <w:sz w:val="24"/>
          <w:szCs w:val="24"/>
        </w:rPr>
        <w:t xml:space="preserve"> they fail to produce results, fulfil their mandates or have a broader impact, but </w:t>
      </w:r>
      <w:r w:rsidR="00131981">
        <w:rPr>
          <w:rFonts w:ascii="Times New Roman" w:hAnsi="Times New Roman" w:cs="Times New Roman"/>
          <w:sz w:val="24"/>
          <w:szCs w:val="24"/>
        </w:rPr>
        <w:t xml:space="preserve">in </w:t>
      </w:r>
      <w:r w:rsidR="00727FA4">
        <w:rPr>
          <w:rFonts w:ascii="Times New Roman" w:hAnsi="Times New Roman" w:cs="Times New Roman"/>
          <w:sz w:val="24"/>
          <w:szCs w:val="24"/>
        </w:rPr>
        <w:t>some</w:t>
      </w:r>
      <w:r w:rsidR="00131981">
        <w:rPr>
          <w:rFonts w:ascii="Times New Roman" w:hAnsi="Times New Roman" w:cs="Times New Roman"/>
          <w:sz w:val="24"/>
          <w:szCs w:val="24"/>
        </w:rPr>
        <w:t xml:space="preserve"> cases</w:t>
      </w:r>
      <w:r w:rsidR="00D516B3">
        <w:rPr>
          <w:rFonts w:ascii="Times New Roman" w:hAnsi="Times New Roman" w:cs="Times New Roman"/>
          <w:sz w:val="24"/>
          <w:szCs w:val="24"/>
        </w:rPr>
        <w:t xml:space="preserve"> </w:t>
      </w:r>
      <w:r w:rsidR="00131981">
        <w:rPr>
          <w:rFonts w:ascii="Times New Roman" w:hAnsi="Times New Roman" w:cs="Times New Roman"/>
          <w:sz w:val="24"/>
          <w:szCs w:val="24"/>
        </w:rPr>
        <w:t xml:space="preserve">they </w:t>
      </w:r>
      <w:r w:rsidR="00727FA4">
        <w:rPr>
          <w:rFonts w:ascii="Times New Roman" w:hAnsi="Times New Roman" w:cs="Times New Roman"/>
          <w:sz w:val="24"/>
          <w:szCs w:val="24"/>
        </w:rPr>
        <w:t>never</w:t>
      </w:r>
      <w:r w:rsidR="00131981">
        <w:rPr>
          <w:rFonts w:ascii="Times New Roman" w:hAnsi="Times New Roman" w:cs="Times New Roman"/>
          <w:sz w:val="24"/>
          <w:szCs w:val="24"/>
        </w:rPr>
        <w:t xml:space="preserve"> </w:t>
      </w:r>
      <w:r w:rsidR="00E34CA4">
        <w:rPr>
          <w:rFonts w:ascii="Times New Roman" w:hAnsi="Times New Roman" w:cs="Times New Roman"/>
          <w:sz w:val="24"/>
          <w:szCs w:val="24"/>
        </w:rPr>
        <w:t>even</w:t>
      </w:r>
      <w:r w:rsidR="00727FA4">
        <w:rPr>
          <w:rFonts w:ascii="Times New Roman" w:hAnsi="Times New Roman" w:cs="Times New Roman"/>
          <w:sz w:val="24"/>
          <w:szCs w:val="24"/>
        </w:rPr>
        <w:t xml:space="preserve"> </w:t>
      </w:r>
      <w:r w:rsidR="00131981">
        <w:rPr>
          <w:rFonts w:ascii="Times New Roman" w:hAnsi="Times New Roman" w:cs="Times New Roman"/>
          <w:sz w:val="24"/>
          <w:szCs w:val="24"/>
        </w:rPr>
        <w:t>manage</w:t>
      </w:r>
      <w:r w:rsidR="00FD4229">
        <w:rPr>
          <w:rFonts w:ascii="Times New Roman" w:hAnsi="Times New Roman" w:cs="Times New Roman"/>
          <w:sz w:val="24"/>
          <w:szCs w:val="24"/>
        </w:rPr>
        <w:t>d</w:t>
      </w:r>
      <w:r w:rsidR="00131981">
        <w:rPr>
          <w:rFonts w:ascii="Times New Roman" w:hAnsi="Times New Roman" w:cs="Times New Roman"/>
          <w:sz w:val="24"/>
          <w:szCs w:val="24"/>
        </w:rPr>
        <w:t xml:space="preserve"> to </w:t>
      </w:r>
      <w:r w:rsidR="00727FA4">
        <w:rPr>
          <w:rFonts w:ascii="Times New Roman" w:hAnsi="Times New Roman" w:cs="Times New Roman"/>
          <w:sz w:val="24"/>
          <w:szCs w:val="24"/>
        </w:rPr>
        <w:t>come into being</w:t>
      </w:r>
      <w:r w:rsidR="00131981">
        <w:rPr>
          <w:rFonts w:ascii="Times New Roman" w:hAnsi="Times New Roman" w:cs="Times New Roman"/>
          <w:sz w:val="24"/>
          <w:szCs w:val="24"/>
        </w:rPr>
        <w:t xml:space="preserve"> despite</w:t>
      </w:r>
      <w:r w:rsidR="00E34CA4">
        <w:rPr>
          <w:rFonts w:ascii="Times New Roman" w:hAnsi="Times New Roman" w:cs="Times New Roman"/>
          <w:sz w:val="24"/>
          <w:szCs w:val="24"/>
        </w:rPr>
        <w:t xml:space="preserve"> the</w:t>
      </w:r>
      <w:r w:rsidR="00131981">
        <w:rPr>
          <w:rFonts w:ascii="Times New Roman" w:hAnsi="Times New Roman" w:cs="Times New Roman"/>
          <w:sz w:val="24"/>
          <w:szCs w:val="24"/>
        </w:rPr>
        <w:t xml:space="preserve"> </w:t>
      </w:r>
      <w:r w:rsidR="00E05C3B">
        <w:rPr>
          <w:rFonts w:ascii="Times New Roman" w:hAnsi="Times New Roman" w:cs="Times New Roman"/>
          <w:sz w:val="24"/>
          <w:szCs w:val="24"/>
        </w:rPr>
        <w:t>considerable efforts</w:t>
      </w:r>
      <w:r w:rsidR="00C92F3D">
        <w:rPr>
          <w:rFonts w:ascii="Times New Roman" w:hAnsi="Times New Roman" w:cs="Times New Roman"/>
          <w:sz w:val="24"/>
          <w:szCs w:val="24"/>
        </w:rPr>
        <w:t xml:space="preserve"> </w:t>
      </w:r>
      <w:r w:rsidR="00E34CA4">
        <w:rPr>
          <w:rFonts w:ascii="Times New Roman" w:hAnsi="Times New Roman" w:cs="Times New Roman"/>
          <w:sz w:val="24"/>
          <w:szCs w:val="24"/>
        </w:rPr>
        <w:t>of their proponents</w:t>
      </w:r>
      <w:r w:rsidR="00A87A76">
        <w:rPr>
          <w:rFonts w:ascii="Times New Roman" w:hAnsi="Times New Roman" w:cs="Times New Roman"/>
          <w:sz w:val="24"/>
          <w:szCs w:val="24"/>
        </w:rPr>
        <w:t>—so</w:t>
      </w:r>
      <w:r w:rsidR="00043D63">
        <w:rPr>
          <w:rFonts w:ascii="Times New Roman" w:hAnsi="Times New Roman" w:cs="Times New Roman"/>
          <w:sz w:val="24"/>
          <w:szCs w:val="24"/>
        </w:rPr>
        <w:t>m</w:t>
      </w:r>
      <w:r w:rsidR="00A87A76">
        <w:rPr>
          <w:rFonts w:ascii="Times New Roman" w:hAnsi="Times New Roman" w:cs="Times New Roman"/>
          <w:sz w:val="24"/>
          <w:szCs w:val="24"/>
        </w:rPr>
        <w:t>ething that has not been given sufficient attention in t</w:t>
      </w:r>
      <w:r w:rsidR="003B1621">
        <w:rPr>
          <w:rFonts w:ascii="Times New Roman" w:hAnsi="Times New Roman" w:cs="Times New Roman"/>
          <w:sz w:val="24"/>
          <w:szCs w:val="24"/>
        </w:rPr>
        <w:t xml:space="preserve">he literature on transitional justice. While we can learn from limitations or weaknesses of actual commissions, </w:t>
      </w:r>
      <w:r w:rsidR="0042353C">
        <w:rPr>
          <w:rFonts w:ascii="Times New Roman" w:hAnsi="Times New Roman" w:cs="Times New Roman"/>
          <w:sz w:val="24"/>
          <w:szCs w:val="24"/>
        </w:rPr>
        <w:t xml:space="preserve">we can </w:t>
      </w:r>
      <w:r w:rsidR="003B1621">
        <w:rPr>
          <w:rFonts w:ascii="Times New Roman" w:hAnsi="Times New Roman" w:cs="Times New Roman"/>
          <w:sz w:val="24"/>
          <w:szCs w:val="24"/>
        </w:rPr>
        <w:t xml:space="preserve">also </w:t>
      </w:r>
      <w:r w:rsidR="0042353C">
        <w:rPr>
          <w:rFonts w:ascii="Times New Roman" w:hAnsi="Times New Roman" w:cs="Times New Roman"/>
          <w:sz w:val="24"/>
          <w:szCs w:val="24"/>
        </w:rPr>
        <w:t xml:space="preserve">gain </w:t>
      </w:r>
      <w:r w:rsidR="003B1621">
        <w:rPr>
          <w:rFonts w:ascii="Times New Roman" w:hAnsi="Times New Roman" w:cs="Times New Roman"/>
          <w:sz w:val="24"/>
          <w:szCs w:val="24"/>
        </w:rPr>
        <w:t xml:space="preserve">much from examining the prior failure to establish </w:t>
      </w:r>
      <w:r w:rsidR="00C27425">
        <w:rPr>
          <w:rFonts w:ascii="Times New Roman" w:hAnsi="Times New Roman" w:cs="Times New Roman"/>
          <w:sz w:val="24"/>
          <w:szCs w:val="24"/>
        </w:rPr>
        <w:t>such mechanisms. T</w:t>
      </w:r>
      <w:r w:rsidR="003B1621">
        <w:rPr>
          <w:rFonts w:ascii="Times New Roman" w:hAnsi="Times New Roman" w:cs="Times New Roman"/>
          <w:sz w:val="24"/>
          <w:szCs w:val="24"/>
        </w:rPr>
        <w:t>hese experiences can highlight the contradictions and conflicts of interest which underpin and can crucially determine the fraught process of a society’s attempts to come to terms with the legacies of conflict.</w:t>
      </w:r>
      <w:r w:rsidR="00E72DCF">
        <w:rPr>
          <w:rFonts w:ascii="Times New Roman" w:hAnsi="Times New Roman" w:cs="Times New Roman"/>
          <w:sz w:val="24"/>
          <w:szCs w:val="24"/>
        </w:rPr>
        <w:t xml:space="preserve"> </w:t>
      </w:r>
    </w:p>
    <w:p w:rsidR="004B27B4" w:rsidRDefault="00F87ED6" w:rsidP="0056403B">
      <w:pPr>
        <w:spacing w:line="360" w:lineRule="auto"/>
        <w:ind w:firstLine="720"/>
        <w:rPr>
          <w:rFonts w:ascii="Times New Roman" w:hAnsi="Times New Roman" w:cs="Times New Roman"/>
          <w:sz w:val="24"/>
          <w:szCs w:val="24"/>
        </w:rPr>
      </w:pPr>
      <w:r>
        <w:rPr>
          <w:rFonts w:ascii="Times New Roman" w:hAnsi="Times New Roman" w:cs="Times New Roman"/>
          <w:sz w:val="24"/>
          <w:szCs w:val="24"/>
        </w:rPr>
        <w:t>T</w:t>
      </w:r>
      <w:r w:rsidR="00202AEE">
        <w:rPr>
          <w:rFonts w:ascii="Times New Roman" w:hAnsi="Times New Roman" w:cs="Times New Roman"/>
          <w:sz w:val="24"/>
          <w:szCs w:val="24"/>
        </w:rPr>
        <w:t>his last scenario applies to the case of Bosnia and Herzegovina</w:t>
      </w:r>
      <w:r w:rsidR="0082774B">
        <w:rPr>
          <w:rStyle w:val="FootnoteReference"/>
          <w:rFonts w:ascii="Times New Roman" w:hAnsi="Times New Roman" w:cs="Times New Roman"/>
          <w:sz w:val="24"/>
          <w:szCs w:val="24"/>
        </w:rPr>
        <w:footnoteReference w:id="5"/>
      </w:r>
      <w:r w:rsidR="00EC1E2F">
        <w:rPr>
          <w:rFonts w:ascii="Times New Roman" w:hAnsi="Times New Roman" w:cs="Times New Roman"/>
          <w:sz w:val="24"/>
          <w:szCs w:val="24"/>
        </w:rPr>
        <w:t xml:space="preserve"> considered here, </w:t>
      </w:r>
      <w:r w:rsidR="00202AEE">
        <w:rPr>
          <w:rFonts w:ascii="Times New Roman" w:hAnsi="Times New Roman" w:cs="Times New Roman"/>
          <w:sz w:val="24"/>
          <w:szCs w:val="24"/>
        </w:rPr>
        <w:t>which</w:t>
      </w:r>
      <w:r w:rsidR="00023D7B">
        <w:rPr>
          <w:rFonts w:ascii="Times New Roman" w:hAnsi="Times New Roman" w:cs="Times New Roman"/>
          <w:sz w:val="24"/>
          <w:szCs w:val="24"/>
        </w:rPr>
        <w:t xml:space="preserve"> </w:t>
      </w:r>
      <w:r w:rsidR="00202AEE">
        <w:rPr>
          <w:rFonts w:ascii="Times New Roman" w:hAnsi="Times New Roman" w:cs="Times New Roman"/>
          <w:sz w:val="24"/>
          <w:szCs w:val="24"/>
        </w:rPr>
        <w:t>saw several</w:t>
      </w:r>
      <w:r w:rsidR="008D7316">
        <w:rPr>
          <w:rFonts w:ascii="Times New Roman" w:hAnsi="Times New Roman" w:cs="Times New Roman"/>
          <w:sz w:val="24"/>
          <w:szCs w:val="24"/>
        </w:rPr>
        <w:t xml:space="preserve"> attempts to create a national Truth and Reconciliation C</w:t>
      </w:r>
      <w:r w:rsidR="00202AEE">
        <w:rPr>
          <w:rFonts w:ascii="Times New Roman" w:hAnsi="Times New Roman" w:cs="Times New Roman"/>
          <w:sz w:val="24"/>
          <w:szCs w:val="24"/>
        </w:rPr>
        <w:t xml:space="preserve">ommission (TRC) </w:t>
      </w:r>
      <w:r w:rsidR="00C62971">
        <w:rPr>
          <w:rFonts w:ascii="Times New Roman" w:hAnsi="Times New Roman" w:cs="Times New Roman"/>
          <w:sz w:val="24"/>
          <w:szCs w:val="24"/>
        </w:rPr>
        <w:t>in</w:t>
      </w:r>
      <w:r>
        <w:rPr>
          <w:rFonts w:ascii="Times New Roman" w:hAnsi="Times New Roman" w:cs="Times New Roman"/>
          <w:sz w:val="24"/>
          <w:szCs w:val="24"/>
        </w:rPr>
        <w:t xml:space="preserve"> its first post-conflict decade</w:t>
      </w:r>
      <w:r w:rsidR="00202AEE">
        <w:rPr>
          <w:rFonts w:ascii="Times New Roman" w:hAnsi="Times New Roman" w:cs="Times New Roman"/>
          <w:sz w:val="24"/>
          <w:szCs w:val="24"/>
        </w:rPr>
        <w:t>, none of which materialized.</w:t>
      </w:r>
      <w:r w:rsidR="00023D7B">
        <w:rPr>
          <w:rStyle w:val="FootnoteReference"/>
          <w:rFonts w:ascii="Times New Roman" w:hAnsi="Times New Roman" w:cs="Times New Roman"/>
          <w:sz w:val="24"/>
          <w:szCs w:val="24"/>
        </w:rPr>
        <w:footnoteReference w:id="6"/>
      </w:r>
      <w:r w:rsidR="0056403B">
        <w:rPr>
          <w:rFonts w:ascii="Times New Roman" w:hAnsi="Times New Roman" w:cs="Times New Roman"/>
          <w:sz w:val="24"/>
          <w:szCs w:val="24"/>
        </w:rPr>
        <w:t xml:space="preserve"> </w:t>
      </w:r>
      <w:r w:rsidR="002239B0">
        <w:rPr>
          <w:rFonts w:ascii="Times New Roman" w:hAnsi="Times New Roman" w:cs="Times New Roman"/>
          <w:sz w:val="24"/>
          <w:szCs w:val="24"/>
        </w:rPr>
        <w:t>Th</w:t>
      </w:r>
      <w:r w:rsidR="0008502A">
        <w:rPr>
          <w:rFonts w:ascii="Times New Roman" w:hAnsi="Times New Roman" w:cs="Times New Roman"/>
          <w:sz w:val="24"/>
          <w:szCs w:val="24"/>
        </w:rPr>
        <w:t>e</w:t>
      </w:r>
      <w:r w:rsidR="002239B0">
        <w:rPr>
          <w:rFonts w:ascii="Times New Roman" w:hAnsi="Times New Roman" w:cs="Times New Roman"/>
          <w:sz w:val="24"/>
          <w:szCs w:val="24"/>
        </w:rPr>
        <w:t xml:space="preserve"> story </w:t>
      </w:r>
      <w:r w:rsidR="0008502A">
        <w:rPr>
          <w:rFonts w:ascii="Times New Roman" w:hAnsi="Times New Roman" w:cs="Times New Roman"/>
          <w:sz w:val="24"/>
          <w:szCs w:val="24"/>
        </w:rPr>
        <w:t>of th</w:t>
      </w:r>
      <w:r w:rsidR="006C72FC">
        <w:rPr>
          <w:rFonts w:ascii="Times New Roman" w:hAnsi="Times New Roman" w:cs="Times New Roman"/>
          <w:sz w:val="24"/>
          <w:szCs w:val="24"/>
        </w:rPr>
        <w:t>e</w:t>
      </w:r>
      <w:r w:rsidR="0008502A">
        <w:rPr>
          <w:rFonts w:ascii="Times New Roman" w:hAnsi="Times New Roman" w:cs="Times New Roman"/>
          <w:sz w:val="24"/>
          <w:szCs w:val="24"/>
        </w:rPr>
        <w:t xml:space="preserve"> failed truth commission </w:t>
      </w:r>
      <w:r w:rsidR="002239B0">
        <w:rPr>
          <w:rFonts w:ascii="Times New Roman" w:hAnsi="Times New Roman" w:cs="Times New Roman"/>
          <w:sz w:val="24"/>
          <w:szCs w:val="24"/>
        </w:rPr>
        <w:t>merits being fully elaborated</w:t>
      </w:r>
      <w:r w:rsidR="002239B0" w:rsidRPr="00E72DCF">
        <w:rPr>
          <w:rFonts w:ascii="Times New Roman" w:hAnsi="Times New Roman" w:cs="Times New Roman"/>
          <w:sz w:val="24"/>
          <w:szCs w:val="24"/>
        </w:rPr>
        <w:t xml:space="preserve"> </w:t>
      </w:r>
      <w:r w:rsidR="002239B0">
        <w:rPr>
          <w:rFonts w:ascii="Times New Roman" w:hAnsi="Times New Roman" w:cs="Times New Roman"/>
          <w:sz w:val="24"/>
          <w:szCs w:val="24"/>
        </w:rPr>
        <w:t xml:space="preserve">in all its complexity, particularly as </w:t>
      </w:r>
      <w:r w:rsidR="00B003B3">
        <w:rPr>
          <w:rFonts w:ascii="Times New Roman" w:hAnsi="Times New Roman" w:cs="Times New Roman"/>
          <w:sz w:val="24"/>
          <w:szCs w:val="24"/>
        </w:rPr>
        <w:t xml:space="preserve">it </w:t>
      </w:r>
      <w:r w:rsidR="00DE3755">
        <w:rPr>
          <w:rFonts w:ascii="Times New Roman" w:hAnsi="Times New Roman" w:cs="Times New Roman"/>
          <w:sz w:val="24"/>
          <w:szCs w:val="24"/>
        </w:rPr>
        <w:t xml:space="preserve">has </w:t>
      </w:r>
      <w:r w:rsidR="00E72DCF">
        <w:rPr>
          <w:rFonts w:ascii="Times New Roman" w:hAnsi="Times New Roman" w:cs="Times New Roman"/>
          <w:sz w:val="24"/>
          <w:szCs w:val="24"/>
        </w:rPr>
        <w:t>only received scant</w:t>
      </w:r>
      <w:r w:rsidR="00DE3755">
        <w:rPr>
          <w:rFonts w:ascii="Times New Roman" w:hAnsi="Times New Roman" w:cs="Times New Roman"/>
          <w:sz w:val="24"/>
          <w:szCs w:val="24"/>
        </w:rPr>
        <w:t xml:space="preserve"> attention in the </w:t>
      </w:r>
      <w:r w:rsidR="002239B0">
        <w:rPr>
          <w:rFonts w:ascii="Times New Roman" w:hAnsi="Times New Roman" w:cs="Times New Roman"/>
          <w:sz w:val="24"/>
          <w:szCs w:val="24"/>
        </w:rPr>
        <w:t xml:space="preserve">vast </w:t>
      </w:r>
      <w:r w:rsidR="00DE3755">
        <w:rPr>
          <w:rFonts w:ascii="Times New Roman" w:hAnsi="Times New Roman" w:cs="Times New Roman"/>
          <w:sz w:val="24"/>
          <w:szCs w:val="24"/>
        </w:rPr>
        <w:t>scholar</w:t>
      </w:r>
      <w:r w:rsidR="004B27B4">
        <w:rPr>
          <w:rFonts w:ascii="Times New Roman" w:hAnsi="Times New Roman" w:cs="Times New Roman"/>
          <w:sz w:val="24"/>
          <w:szCs w:val="24"/>
        </w:rPr>
        <w:t>ship</w:t>
      </w:r>
      <w:r w:rsidR="002239B0">
        <w:rPr>
          <w:rFonts w:ascii="Times New Roman" w:hAnsi="Times New Roman" w:cs="Times New Roman"/>
          <w:sz w:val="24"/>
          <w:szCs w:val="24"/>
        </w:rPr>
        <w:t xml:space="preserve"> on </w:t>
      </w:r>
      <w:r w:rsidR="00B003B3">
        <w:rPr>
          <w:rFonts w:ascii="Times New Roman" w:hAnsi="Times New Roman" w:cs="Times New Roman"/>
          <w:sz w:val="24"/>
          <w:szCs w:val="24"/>
        </w:rPr>
        <w:t xml:space="preserve">the </w:t>
      </w:r>
      <w:r w:rsidR="002239B0">
        <w:rPr>
          <w:rFonts w:ascii="Times New Roman" w:hAnsi="Times New Roman" w:cs="Times New Roman"/>
          <w:sz w:val="24"/>
          <w:szCs w:val="24"/>
        </w:rPr>
        <w:t>Bosnia</w:t>
      </w:r>
      <w:r w:rsidR="00B003B3">
        <w:rPr>
          <w:rFonts w:ascii="Times New Roman" w:hAnsi="Times New Roman" w:cs="Times New Roman"/>
          <w:sz w:val="24"/>
          <w:szCs w:val="24"/>
        </w:rPr>
        <w:t>n War and its aftermath</w:t>
      </w:r>
      <w:r w:rsidR="004B27B4">
        <w:rPr>
          <w:rFonts w:ascii="Times New Roman" w:hAnsi="Times New Roman" w:cs="Times New Roman"/>
          <w:sz w:val="24"/>
          <w:szCs w:val="24"/>
        </w:rPr>
        <w:t xml:space="preserve">. </w:t>
      </w:r>
      <w:r w:rsidR="005E6031">
        <w:rPr>
          <w:rFonts w:ascii="Times New Roman" w:hAnsi="Times New Roman" w:cs="Times New Roman"/>
          <w:sz w:val="24"/>
          <w:szCs w:val="24"/>
        </w:rPr>
        <w:t>As t</w:t>
      </w:r>
      <w:r w:rsidR="004B27B4">
        <w:rPr>
          <w:rFonts w:ascii="Times New Roman" w:hAnsi="Times New Roman" w:cs="Times New Roman"/>
          <w:sz w:val="24"/>
          <w:szCs w:val="24"/>
        </w:rPr>
        <w:t xml:space="preserve">he product of a discrete historical moment characterized by </w:t>
      </w:r>
      <w:r w:rsidR="00B003B3">
        <w:rPr>
          <w:rFonts w:ascii="Times New Roman" w:hAnsi="Times New Roman" w:cs="Times New Roman"/>
          <w:sz w:val="24"/>
          <w:szCs w:val="24"/>
        </w:rPr>
        <w:t xml:space="preserve">a temporal closeness to the conflict and </w:t>
      </w:r>
      <w:r w:rsidR="004B27B4">
        <w:rPr>
          <w:rFonts w:ascii="Times New Roman" w:hAnsi="Times New Roman" w:cs="Times New Roman"/>
          <w:sz w:val="24"/>
          <w:szCs w:val="24"/>
        </w:rPr>
        <w:t>extensive international intervention</w:t>
      </w:r>
      <w:r w:rsidR="0042353C">
        <w:rPr>
          <w:rFonts w:ascii="Times New Roman" w:hAnsi="Times New Roman" w:cs="Times New Roman"/>
          <w:sz w:val="24"/>
          <w:szCs w:val="24"/>
        </w:rPr>
        <w:t xml:space="preserve">, </w:t>
      </w:r>
      <w:r w:rsidR="005E6031">
        <w:rPr>
          <w:rFonts w:ascii="Times New Roman" w:hAnsi="Times New Roman" w:cs="Times New Roman"/>
          <w:sz w:val="24"/>
          <w:szCs w:val="24"/>
        </w:rPr>
        <w:t>the Bosnian TRC’s</w:t>
      </w:r>
      <w:r w:rsidR="004B27B4">
        <w:rPr>
          <w:rFonts w:ascii="Times New Roman" w:hAnsi="Times New Roman" w:cs="Times New Roman"/>
          <w:sz w:val="24"/>
          <w:szCs w:val="24"/>
        </w:rPr>
        <w:t xml:space="preserve"> failure highlights the </w:t>
      </w:r>
      <w:r w:rsidR="005E6031">
        <w:rPr>
          <w:rFonts w:ascii="Times New Roman" w:hAnsi="Times New Roman" w:cs="Times New Roman"/>
          <w:sz w:val="24"/>
          <w:szCs w:val="24"/>
        </w:rPr>
        <w:t>difficulties</w:t>
      </w:r>
      <w:r w:rsidR="00A72F33">
        <w:rPr>
          <w:rFonts w:ascii="Times New Roman" w:hAnsi="Times New Roman" w:cs="Times New Roman"/>
          <w:sz w:val="24"/>
          <w:szCs w:val="24"/>
        </w:rPr>
        <w:t xml:space="preserve"> and paradoxes</w:t>
      </w:r>
      <w:r w:rsidR="004B27B4">
        <w:rPr>
          <w:rFonts w:ascii="Times New Roman" w:hAnsi="Times New Roman" w:cs="Times New Roman"/>
          <w:sz w:val="24"/>
          <w:szCs w:val="24"/>
        </w:rPr>
        <w:t xml:space="preserve"> of externally driven processes to promote transitional justice </w:t>
      </w:r>
      <w:r w:rsidR="0008502A">
        <w:rPr>
          <w:rFonts w:ascii="Times New Roman" w:hAnsi="Times New Roman" w:cs="Times New Roman"/>
          <w:sz w:val="24"/>
          <w:szCs w:val="24"/>
        </w:rPr>
        <w:t>and nation-building</w:t>
      </w:r>
      <w:r w:rsidR="004B27B4">
        <w:rPr>
          <w:rFonts w:ascii="Times New Roman" w:hAnsi="Times New Roman" w:cs="Times New Roman"/>
          <w:sz w:val="24"/>
          <w:szCs w:val="24"/>
        </w:rPr>
        <w:t xml:space="preserve"> in </w:t>
      </w:r>
      <w:r w:rsidR="0042353C">
        <w:rPr>
          <w:rFonts w:ascii="Times New Roman" w:hAnsi="Times New Roman" w:cs="Times New Roman"/>
          <w:sz w:val="24"/>
          <w:szCs w:val="24"/>
        </w:rPr>
        <w:t>immediate</w:t>
      </w:r>
      <w:r w:rsidR="004B27B4">
        <w:rPr>
          <w:rFonts w:ascii="Times New Roman" w:hAnsi="Times New Roman" w:cs="Times New Roman"/>
          <w:sz w:val="24"/>
          <w:szCs w:val="24"/>
        </w:rPr>
        <w:t xml:space="preserve"> post-conflict </w:t>
      </w:r>
      <w:r w:rsidR="0042353C">
        <w:rPr>
          <w:rFonts w:ascii="Times New Roman" w:hAnsi="Times New Roman" w:cs="Times New Roman"/>
          <w:sz w:val="24"/>
          <w:szCs w:val="24"/>
        </w:rPr>
        <w:t xml:space="preserve">settings. </w:t>
      </w:r>
      <w:r w:rsidR="004B27B4">
        <w:rPr>
          <w:rFonts w:ascii="Times New Roman" w:hAnsi="Times New Roman" w:cs="Times New Roman"/>
          <w:sz w:val="24"/>
          <w:szCs w:val="24"/>
        </w:rPr>
        <w:t xml:space="preserve">As such, </w:t>
      </w:r>
      <w:r w:rsidR="0068002F">
        <w:rPr>
          <w:rFonts w:ascii="Times New Roman" w:hAnsi="Times New Roman" w:cs="Times New Roman"/>
          <w:sz w:val="24"/>
          <w:szCs w:val="24"/>
        </w:rPr>
        <w:t>its</w:t>
      </w:r>
      <w:r w:rsidR="004B27B4">
        <w:rPr>
          <w:rFonts w:ascii="Times New Roman" w:hAnsi="Times New Roman" w:cs="Times New Roman"/>
          <w:sz w:val="24"/>
          <w:szCs w:val="24"/>
        </w:rPr>
        <w:t xml:space="preserve"> story contains valuable insights—both for continuing transitional justice initiatives in the region itself</w:t>
      </w:r>
      <w:r w:rsidR="0042353C">
        <w:rPr>
          <w:rFonts w:ascii="Times New Roman" w:hAnsi="Times New Roman" w:cs="Times New Roman"/>
          <w:sz w:val="24"/>
          <w:szCs w:val="24"/>
        </w:rPr>
        <w:t xml:space="preserve"> </w:t>
      </w:r>
      <w:r w:rsidR="004B27B4">
        <w:rPr>
          <w:rFonts w:ascii="Times New Roman" w:hAnsi="Times New Roman" w:cs="Times New Roman"/>
          <w:sz w:val="24"/>
          <w:szCs w:val="24"/>
        </w:rPr>
        <w:t>and for the broader debate on truth commissions as mechanisms</w:t>
      </w:r>
      <w:r w:rsidR="001D52DB">
        <w:rPr>
          <w:rFonts w:ascii="Times New Roman" w:hAnsi="Times New Roman" w:cs="Times New Roman"/>
          <w:sz w:val="24"/>
          <w:szCs w:val="24"/>
        </w:rPr>
        <w:t xml:space="preserve"> of peacebuilding and</w:t>
      </w:r>
      <w:r w:rsidR="0008502A">
        <w:rPr>
          <w:rFonts w:ascii="Times New Roman" w:hAnsi="Times New Roman" w:cs="Times New Roman"/>
          <w:sz w:val="24"/>
          <w:szCs w:val="24"/>
        </w:rPr>
        <w:t xml:space="preserve"> </w:t>
      </w:r>
      <w:r w:rsidR="004B27B4">
        <w:rPr>
          <w:rFonts w:ascii="Times New Roman" w:hAnsi="Times New Roman" w:cs="Times New Roman"/>
          <w:sz w:val="24"/>
          <w:szCs w:val="24"/>
        </w:rPr>
        <w:t>social reconstruction</w:t>
      </w:r>
      <w:r w:rsidR="0008502A">
        <w:rPr>
          <w:rFonts w:ascii="Times New Roman" w:hAnsi="Times New Roman" w:cs="Times New Roman"/>
          <w:sz w:val="24"/>
          <w:szCs w:val="24"/>
        </w:rPr>
        <w:t xml:space="preserve"> </w:t>
      </w:r>
      <w:r w:rsidR="00021F49">
        <w:rPr>
          <w:rFonts w:ascii="Times New Roman" w:hAnsi="Times New Roman" w:cs="Times New Roman"/>
          <w:sz w:val="24"/>
          <w:szCs w:val="24"/>
        </w:rPr>
        <w:t>in a war-ravaged country</w:t>
      </w:r>
      <w:r w:rsidR="004B27B4">
        <w:rPr>
          <w:rFonts w:ascii="Times New Roman" w:hAnsi="Times New Roman" w:cs="Times New Roman"/>
          <w:sz w:val="24"/>
          <w:szCs w:val="24"/>
        </w:rPr>
        <w:t>.</w:t>
      </w:r>
      <w:r w:rsidR="00C92F2E">
        <w:rPr>
          <w:rFonts w:ascii="Times New Roman" w:hAnsi="Times New Roman" w:cs="Times New Roman"/>
          <w:sz w:val="24"/>
          <w:szCs w:val="24"/>
        </w:rPr>
        <w:t xml:space="preserve"> </w:t>
      </w:r>
    </w:p>
    <w:p w:rsidR="003B1DFF" w:rsidRDefault="0056403B" w:rsidP="00E66FA6">
      <w:pPr>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This article examines the process of trying to establish a Bosnian truth commission and the multiple reasons for the project’s failure. </w:t>
      </w:r>
      <w:r w:rsidR="0008502A">
        <w:rPr>
          <w:rFonts w:ascii="Times New Roman" w:hAnsi="Times New Roman" w:cs="Times New Roman"/>
          <w:sz w:val="24"/>
          <w:szCs w:val="24"/>
        </w:rPr>
        <w:t xml:space="preserve">In view of </w:t>
      </w:r>
      <w:r w:rsidR="001D52DB">
        <w:rPr>
          <w:rFonts w:ascii="Times New Roman" w:hAnsi="Times New Roman" w:cs="Times New Roman"/>
          <w:sz w:val="24"/>
          <w:szCs w:val="24"/>
        </w:rPr>
        <w:t xml:space="preserve">the scarcity of scholarly examinations of this case </w:t>
      </w:r>
      <w:r w:rsidR="0008502A">
        <w:rPr>
          <w:rFonts w:ascii="Times New Roman" w:hAnsi="Times New Roman" w:cs="Times New Roman"/>
          <w:sz w:val="24"/>
          <w:szCs w:val="24"/>
        </w:rPr>
        <w:t xml:space="preserve">and the </w:t>
      </w:r>
      <w:r w:rsidR="003613E2">
        <w:rPr>
          <w:rFonts w:ascii="Times New Roman" w:hAnsi="Times New Roman" w:cs="Times New Roman"/>
          <w:sz w:val="24"/>
          <w:szCs w:val="24"/>
        </w:rPr>
        <w:t>growing temporal</w:t>
      </w:r>
      <w:r w:rsidR="0008502A">
        <w:rPr>
          <w:rFonts w:ascii="Times New Roman" w:hAnsi="Times New Roman" w:cs="Times New Roman"/>
          <w:sz w:val="24"/>
          <w:szCs w:val="24"/>
        </w:rPr>
        <w:t xml:space="preserve"> distance from the events under consideration, </w:t>
      </w:r>
      <w:r w:rsidR="00D96B3A">
        <w:rPr>
          <w:rFonts w:ascii="Times New Roman" w:hAnsi="Times New Roman" w:cs="Times New Roman"/>
          <w:sz w:val="24"/>
          <w:szCs w:val="24"/>
        </w:rPr>
        <w:t xml:space="preserve">I </w:t>
      </w:r>
      <w:r w:rsidR="00D3296E">
        <w:rPr>
          <w:rFonts w:ascii="Times New Roman" w:hAnsi="Times New Roman" w:cs="Times New Roman"/>
          <w:sz w:val="24"/>
          <w:szCs w:val="24"/>
        </w:rPr>
        <w:t xml:space="preserve">have </w:t>
      </w:r>
      <w:r w:rsidR="00D96B3A">
        <w:rPr>
          <w:rFonts w:ascii="Times New Roman" w:hAnsi="Times New Roman" w:cs="Times New Roman"/>
          <w:sz w:val="24"/>
          <w:szCs w:val="24"/>
        </w:rPr>
        <w:t xml:space="preserve">adopted a </w:t>
      </w:r>
      <w:r w:rsidR="001D52DB">
        <w:rPr>
          <w:rFonts w:ascii="Times New Roman" w:hAnsi="Times New Roman" w:cs="Times New Roman"/>
          <w:sz w:val="24"/>
          <w:szCs w:val="24"/>
        </w:rPr>
        <w:t xml:space="preserve">primary source-based </w:t>
      </w:r>
      <w:r w:rsidR="00393FE4">
        <w:rPr>
          <w:rFonts w:ascii="Times New Roman" w:hAnsi="Times New Roman" w:cs="Times New Roman"/>
          <w:sz w:val="24"/>
          <w:szCs w:val="24"/>
        </w:rPr>
        <w:t xml:space="preserve">historical </w:t>
      </w:r>
      <w:r w:rsidR="002A1E40">
        <w:rPr>
          <w:rFonts w:ascii="Times New Roman" w:hAnsi="Times New Roman" w:cs="Times New Roman"/>
          <w:sz w:val="24"/>
          <w:szCs w:val="24"/>
        </w:rPr>
        <w:t>methodology</w:t>
      </w:r>
      <w:r w:rsidR="001D52DB">
        <w:rPr>
          <w:rFonts w:ascii="Times New Roman" w:hAnsi="Times New Roman" w:cs="Times New Roman"/>
          <w:sz w:val="24"/>
          <w:szCs w:val="24"/>
        </w:rPr>
        <w:t>, seeking to explain the</w:t>
      </w:r>
      <w:r w:rsidR="00D02893">
        <w:rPr>
          <w:rFonts w:ascii="Times New Roman" w:hAnsi="Times New Roman" w:cs="Times New Roman"/>
          <w:sz w:val="24"/>
          <w:szCs w:val="24"/>
        </w:rPr>
        <w:t xml:space="preserve"> </w:t>
      </w:r>
      <w:r w:rsidR="002A1E40">
        <w:rPr>
          <w:rFonts w:ascii="Times New Roman" w:hAnsi="Times New Roman" w:cs="Times New Roman"/>
          <w:sz w:val="24"/>
          <w:szCs w:val="24"/>
        </w:rPr>
        <w:t xml:space="preserve">trajectory </w:t>
      </w:r>
      <w:r w:rsidR="001D52DB">
        <w:rPr>
          <w:rFonts w:ascii="Times New Roman" w:hAnsi="Times New Roman" w:cs="Times New Roman"/>
          <w:sz w:val="24"/>
          <w:szCs w:val="24"/>
        </w:rPr>
        <w:t xml:space="preserve">and eventual failure </w:t>
      </w:r>
      <w:r w:rsidR="002A1E40">
        <w:rPr>
          <w:rFonts w:ascii="Times New Roman" w:hAnsi="Times New Roman" w:cs="Times New Roman"/>
          <w:sz w:val="24"/>
          <w:szCs w:val="24"/>
        </w:rPr>
        <w:t>of the project</w:t>
      </w:r>
      <w:r w:rsidR="0008502A">
        <w:rPr>
          <w:rFonts w:ascii="Times New Roman" w:hAnsi="Times New Roman" w:cs="Times New Roman"/>
          <w:sz w:val="24"/>
          <w:szCs w:val="24"/>
        </w:rPr>
        <w:t>.</w:t>
      </w:r>
      <w:r w:rsidR="00D96B3A">
        <w:rPr>
          <w:rStyle w:val="FootnoteReference"/>
          <w:rFonts w:ascii="Times New Roman" w:hAnsi="Times New Roman" w:cs="Times New Roman"/>
          <w:sz w:val="24"/>
          <w:szCs w:val="24"/>
        </w:rPr>
        <w:footnoteReference w:id="7"/>
      </w:r>
      <w:r w:rsidR="0008502A">
        <w:rPr>
          <w:rFonts w:ascii="Times New Roman" w:hAnsi="Times New Roman" w:cs="Times New Roman"/>
          <w:sz w:val="24"/>
          <w:szCs w:val="24"/>
        </w:rPr>
        <w:t xml:space="preserve"> </w:t>
      </w:r>
      <w:r w:rsidR="003B1DFF">
        <w:rPr>
          <w:rFonts w:ascii="Times New Roman" w:hAnsi="Times New Roman" w:cs="Times New Roman"/>
          <w:sz w:val="24"/>
          <w:szCs w:val="24"/>
        </w:rPr>
        <w:t xml:space="preserve">My research </w:t>
      </w:r>
      <w:r w:rsidR="00877147">
        <w:rPr>
          <w:rFonts w:ascii="Times New Roman" w:hAnsi="Times New Roman" w:cs="Times New Roman"/>
          <w:sz w:val="24"/>
          <w:szCs w:val="24"/>
        </w:rPr>
        <w:t>reconstruct</w:t>
      </w:r>
      <w:r w:rsidR="00D3296E">
        <w:rPr>
          <w:rFonts w:ascii="Times New Roman" w:hAnsi="Times New Roman" w:cs="Times New Roman"/>
          <w:sz w:val="24"/>
          <w:szCs w:val="24"/>
        </w:rPr>
        <w:t>s</w:t>
      </w:r>
      <w:r w:rsidR="00877147">
        <w:rPr>
          <w:rFonts w:ascii="Times New Roman" w:hAnsi="Times New Roman" w:cs="Times New Roman"/>
          <w:sz w:val="24"/>
          <w:szCs w:val="24"/>
        </w:rPr>
        <w:t xml:space="preserve"> this </w:t>
      </w:r>
      <w:r w:rsidR="003613E2">
        <w:rPr>
          <w:rFonts w:ascii="Times New Roman" w:hAnsi="Times New Roman" w:cs="Times New Roman"/>
          <w:sz w:val="24"/>
          <w:szCs w:val="24"/>
        </w:rPr>
        <w:t xml:space="preserve">nearly decade-long </w:t>
      </w:r>
      <w:r w:rsidR="00393FE4">
        <w:rPr>
          <w:rFonts w:ascii="Times New Roman" w:hAnsi="Times New Roman" w:cs="Times New Roman"/>
          <w:sz w:val="24"/>
          <w:szCs w:val="24"/>
        </w:rPr>
        <w:t>process</w:t>
      </w:r>
      <w:r w:rsidR="00877147">
        <w:rPr>
          <w:rFonts w:ascii="Times New Roman" w:hAnsi="Times New Roman" w:cs="Times New Roman"/>
          <w:sz w:val="24"/>
          <w:szCs w:val="24"/>
        </w:rPr>
        <w:t xml:space="preserve"> by focusing</w:t>
      </w:r>
      <w:r w:rsidR="003B1DFF">
        <w:rPr>
          <w:rFonts w:ascii="Times New Roman" w:hAnsi="Times New Roman" w:cs="Times New Roman"/>
          <w:sz w:val="24"/>
          <w:szCs w:val="24"/>
        </w:rPr>
        <w:t xml:space="preserve"> on three questions</w:t>
      </w:r>
      <w:r w:rsidR="00A72F33">
        <w:rPr>
          <w:rFonts w:ascii="Times New Roman" w:hAnsi="Times New Roman" w:cs="Times New Roman"/>
          <w:sz w:val="24"/>
          <w:szCs w:val="24"/>
        </w:rPr>
        <w:t>:</w:t>
      </w:r>
      <w:r w:rsidR="003B1DFF">
        <w:rPr>
          <w:rFonts w:ascii="Times New Roman" w:hAnsi="Times New Roman" w:cs="Times New Roman"/>
          <w:sz w:val="24"/>
          <w:szCs w:val="24"/>
        </w:rPr>
        <w:t xml:space="preserve"> </w:t>
      </w:r>
      <w:r w:rsidR="00C62971">
        <w:rPr>
          <w:rFonts w:ascii="Times New Roman" w:hAnsi="Times New Roman" w:cs="Times New Roman"/>
          <w:sz w:val="24"/>
          <w:szCs w:val="24"/>
        </w:rPr>
        <w:t>f</w:t>
      </w:r>
      <w:r w:rsidR="003B1DFF">
        <w:rPr>
          <w:rFonts w:ascii="Times New Roman" w:hAnsi="Times New Roman" w:cs="Times New Roman"/>
          <w:sz w:val="24"/>
          <w:szCs w:val="24"/>
        </w:rPr>
        <w:t>irst, what role</w:t>
      </w:r>
      <w:r w:rsidR="00C62971">
        <w:rPr>
          <w:rFonts w:ascii="Times New Roman" w:hAnsi="Times New Roman" w:cs="Times New Roman"/>
          <w:sz w:val="24"/>
          <w:szCs w:val="24"/>
        </w:rPr>
        <w:t xml:space="preserve"> was</w:t>
      </w:r>
      <w:r w:rsidR="003B1DFF">
        <w:rPr>
          <w:rFonts w:ascii="Times New Roman" w:hAnsi="Times New Roman" w:cs="Times New Roman"/>
          <w:sz w:val="24"/>
          <w:szCs w:val="24"/>
        </w:rPr>
        <w:t xml:space="preserve"> </w:t>
      </w:r>
      <w:r w:rsidR="00D02893">
        <w:rPr>
          <w:rFonts w:ascii="Times New Roman" w:hAnsi="Times New Roman" w:cs="Times New Roman"/>
          <w:sz w:val="24"/>
          <w:szCs w:val="24"/>
        </w:rPr>
        <w:t xml:space="preserve">envisaged </w:t>
      </w:r>
      <w:r w:rsidR="003B1DFF">
        <w:rPr>
          <w:rFonts w:ascii="Times New Roman" w:hAnsi="Times New Roman" w:cs="Times New Roman"/>
          <w:sz w:val="24"/>
          <w:szCs w:val="24"/>
        </w:rPr>
        <w:t>for</w:t>
      </w:r>
      <w:r w:rsidR="003B1DFF" w:rsidRPr="00C2177E">
        <w:rPr>
          <w:rFonts w:ascii="Times New Roman" w:hAnsi="Times New Roman" w:cs="Times New Roman"/>
          <w:sz w:val="24"/>
          <w:szCs w:val="24"/>
        </w:rPr>
        <w:t xml:space="preserve"> a </w:t>
      </w:r>
      <w:r w:rsidR="003B1DFF">
        <w:rPr>
          <w:rFonts w:ascii="Times New Roman" w:hAnsi="Times New Roman" w:cs="Times New Roman"/>
          <w:sz w:val="24"/>
          <w:szCs w:val="24"/>
        </w:rPr>
        <w:t xml:space="preserve">national </w:t>
      </w:r>
      <w:r w:rsidR="003B1DFF" w:rsidRPr="00C2177E">
        <w:rPr>
          <w:rFonts w:ascii="Times New Roman" w:hAnsi="Times New Roman" w:cs="Times New Roman"/>
          <w:sz w:val="24"/>
          <w:szCs w:val="24"/>
        </w:rPr>
        <w:t xml:space="preserve">truth commission when the ICTY already existed as a mechanism for achieving justice and reconciliation in the region? </w:t>
      </w:r>
      <w:r w:rsidR="003B1DFF">
        <w:rPr>
          <w:rFonts w:ascii="Times New Roman" w:hAnsi="Times New Roman" w:cs="Times New Roman"/>
          <w:sz w:val="24"/>
          <w:szCs w:val="24"/>
        </w:rPr>
        <w:t>Second, h</w:t>
      </w:r>
      <w:r w:rsidR="003B1DFF" w:rsidRPr="00A855BF">
        <w:rPr>
          <w:rFonts w:ascii="Times New Roman" w:hAnsi="Times New Roman" w:cs="Times New Roman"/>
          <w:sz w:val="24"/>
          <w:szCs w:val="24"/>
        </w:rPr>
        <w:t xml:space="preserve">ow was this idea put into practice? And, finally, </w:t>
      </w:r>
      <w:r w:rsidR="00CF4993">
        <w:rPr>
          <w:rFonts w:ascii="Times New Roman" w:hAnsi="Times New Roman" w:cs="Times New Roman"/>
          <w:sz w:val="24"/>
          <w:szCs w:val="24"/>
        </w:rPr>
        <w:t>what factors contributed to the failure of</w:t>
      </w:r>
      <w:r w:rsidR="003B1DFF" w:rsidRPr="00A855BF">
        <w:rPr>
          <w:rFonts w:ascii="Times New Roman" w:hAnsi="Times New Roman" w:cs="Times New Roman"/>
          <w:sz w:val="24"/>
          <w:szCs w:val="24"/>
        </w:rPr>
        <w:t xml:space="preserve"> all attempts to </w:t>
      </w:r>
      <w:r w:rsidR="00D02893">
        <w:rPr>
          <w:rFonts w:ascii="Times New Roman" w:hAnsi="Times New Roman" w:cs="Times New Roman"/>
          <w:sz w:val="24"/>
          <w:szCs w:val="24"/>
        </w:rPr>
        <w:t>create a TRC</w:t>
      </w:r>
      <w:r w:rsidR="003B1DFF" w:rsidRPr="00A855BF">
        <w:rPr>
          <w:rFonts w:ascii="Times New Roman" w:hAnsi="Times New Roman" w:cs="Times New Roman"/>
          <w:sz w:val="24"/>
          <w:szCs w:val="24"/>
        </w:rPr>
        <w:t>?</w:t>
      </w:r>
      <w:r w:rsidR="003B1DFF">
        <w:rPr>
          <w:rFonts w:ascii="Times New Roman" w:hAnsi="Times New Roman" w:cs="Times New Roman"/>
          <w:sz w:val="24"/>
          <w:szCs w:val="24"/>
        </w:rPr>
        <w:t xml:space="preserve"> </w:t>
      </w:r>
      <w:r w:rsidR="006C72FC">
        <w:rPr>
          <w:rFonts w:ascii="Times New Roman" w:hAnsi="Times New Roman" w:cs="Times New Roman"/>
          <w:sz w:val="24"/>
          <w:szCs w:val="24"/>
        </w:rPr>
        <w:t>My</w:t>
      </w:r>
      <w:r w:rsidR="003B1DFF">
        <w:rPr>
          <w:rFonts w:ascii="Times New Roman" w:hAnsi="Times New Roman" w:cs="Times New Roman"/>
          <w:sz w:val="24"/>
          <w:szCs w:val="24"/>
        </w:rPr>
        <w:t xml:space="preserve"> analysis </w:t>
      </w:r>
      <w:r w:rsidR="006C72FC">
        <w:rPr>
          <w:rFonts w:ascii="Times New Roman" w:hAnsi="Times New Roman" w:cs="Times New Roman"/>
          <w:sz w:val="24"/>
          <w:szCs w:val="24"/>
        </w:rPr>
        <w:t>relie</w:t>
      </w:r>
      <w:r w:rsidR="00D3296E">
        <w:rPr>
          <w:rFonts w:ascii="Times New Roman" w:hAnsi="Times New Roman" w:cs="Times New Roman"/>
          <w:sz w:val="24"/>
          <w:szCs w:val="24"/>
        </w:rPr>
        <w:t>s</w:t>
      </w:r>
      <w:r w:rsidR="003B1DFF">
        <w:rPr>
          <w:rFonts w:ascii="Times New Roman" w:hAnsi="Times New Roman" w:cs="Times New Roman"/>
          <w:sz w:val="24"/>
          <w:szCs w:val="24"/>
        </w:rPr>
        <w:t xml:space="preserve"> on an examination of </w:t>
      </w:r>
      <w:r w:rsidR="003613E2">
        <w:rPr>
          <w:rFonts w:ascii="Times New Roman" w:hAnsi="Times New Roman" w:cs="Times New Roman"/>
          <w:sz w:val="24"/>
          <w:szCs w:val="24"/>
        </w:rPr>
        <w:t xml:space="preserve">the </w:t>
      </w:r>
      <w:r w:rsidR="0042353C">
        <w:rPr>
          <w:rFonts w:ascii="Times New Roman" w:hAnsi="Times New Roman" w:cs="Times New Roman"/>
          <w:sz w:val="24"/>
          <w:szCs w:val="24"/>
        </w:rPr>
        <w:t>various</w:t>
      </w:r>
      <w:r w:rsidR="003613E2">
        <w:rPr>
          <w:rFonts w:ascii="Times New Roman" w:hAnsi="Times New Roman" w:cs="Times New Roman"/>
          <w:sz w:val="24"/>
          <w:szCs w:val="24"/>
        </w:rPr>
        <w:t xml:space="preserve"> forms of evidence available</w:t>
      </w:r>
      <w:r w:rsidR="003B1DFF">
        <w:rPr>
          <w:rFonts w:ascii="Times New Roman" w:hAnsi="Times New Roman" w:cs="Times New Roman"/>
          <w:sz w:val="24"/>
          <w:szCs w:val="24"/>
        </w:rPr>
        <w:t>: project-specific documents (both published and unpublished);</w:t>
      </w:r>
      <w:r w:rsidR="003B1DFF">
        <w:rPr>
          <w:rStyle w:val="FootnoteReference"/>
          <w:rFonts w:ascii="Times New Roman" w:hAnsi="Times New Roman" w:cs="Times New Roman"/>
          <w:sz w:val="24"/>
          <w:szCs w:val="24"/>
        </w:rPr>
        <w:footnoteReference w:id="8"/>
      </w:r>
      <w:r w:rsidR="003B1DFF">
        <w:rPr>
          <w:rFonts w:ascii="Times New Roman" w:hAnsi="Times New Roman" w:cs="Times New Roman"/>
          <w:sz w:val="24"/>
          <w:szCs w:val="24"/>
        </w:rPr>
        <w:t xml:space="preserve"> transcripts of the relevant NGO conferences; local and international media of the time; relevant opinion polls; reports of domestic and international NGOs working in Bosnia</w:t>
      </w:r>
      <w:r w:rsidR="003613E2">
        <w:rPr>
          <w:rFonts w:ascii="Times New Roman" w:hAnsi="Times New Roman" w:cs="Times New Roman"/>
          <w:sz w:val="24"/>
          <w:szCs w:val="24"/>
        </w:rPr>
        <w:t>; and, importantly, interviews and correspondence with actors involved in the process (including members of Bosnian human rights NGOs and victim associations, political party representatives, and representatives of international organizations)</w:t>
      </w:r>
      <w:r w:rsidR="003B1DFF">
        <w:rPr>
          <w:rFonts w:ascii="Times New Roman" w:hAnsi="Times New Roman" w:cs="Times New Roman"/>
          <w:sz w:val="24"/>
          <w:szCs w:val="24"/>
        </w:rPr>
        <w:t>.</w:t>
      </w:r>
    </w:p>
    <w:p w:rsidR="00C27425" w:rsidRDefault="003B1DFF" w:rsidP="00E72DCF">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w:t>
      </w:r>
      <w:r w:rsidR="00F9646C">
        <w:rPr>
          <w:rFonts w:ascii="Times New Roman" w:hAnsi="Times New Roman" w:cs="Times New Roman"/>
          <w:sz w:val="24"/>
          <w:szCs w:val="24"/>
        </w:rPr>
        <w:t>what follows</w:t>
      </w:r>
      <w:r>
        <w:rPr>
          <w:rFonts w:ascii="Times New Roman" w:hAnsi="Times New Roman" w:cs="Times New Roman"/>
          <w:sz w:val="24"/>
          <w:szCs w:val="24"/>
        </w:rPr>
        <w:t xml:space="preserve">, </w:t>
      </w:r>
      <w:r w:rsidR="001D456D">
        <w:rPr>
          <w:rFonts w:ascii="Times New Roman" w:hAnsi="Times New Roman" w:cs="Times New Roman"/>
          <w:sz w:val="24"/>
          <w:szCs w:val="24"/>
        </w:rPr>
        <w:t>I</w:t>
      </w:r>
      <w:r w:rsidR="0004527C">
        <w:rPr>
          <w:rFonts w:ascii="Times New Roman" w:hAnsi="Times New Roman" w:cs="Times New Roman"/>
          <w:sz w:val="24"/>
          <w:szCs w:val="24"/>
        </w:rPr>
        <w:t xml:space="preserve"> first elucidate the rationale for creating a truth commission for Bosnia</w:t>
      </w:r>
      <w:r w:rsidR="001D456D">
        <w:rPr>
          <w:rFonts w:ascii="Times New Roman" w:hAnsi="Times New Roman" w:cs="Times New Roman"/>
          <w:sz w:val="24"/>
          <w:szCs w:val="24"/>
        </w:rPr>
        <w:t xml:space="preserve">, highlighting in particular the </w:t>
      </w:r>
      <w:r w:rsidR="00D749BB">
        <w:rPr>
          <w:rFonts w:ascii="Times New Roman" w:hAnsi="Times New Roman" w:cs="Times New Roman"/>
          <w:sz w:val="24"/>
          <w:szCs w:val="24"/>
        </w:rPr>
        <w:t xml:space="preserve">TRC’s </w:t>
      </w:r>
      <w:r w:rsidR="00DE3755">
        <w:rPr>
          <w:rFonts w:ascii="Times New Roman" w:hAnsi="Times New Roman" w:cs="Times New Roman"/>
          <w:sz w:val="24"/>
          <w:szCs w:val="24"/>
        </w:rPr>
        <w:t xml:space="preserve">envisaged </w:t>
      </w:r>
      <w:r w:rsidR="0004527C">
        <w:rPr>
          <w:rFonts w:ascii="Times New Roman" w:hAnsi="Times New Roman" w:cs="Times New Roman"/>
          <w:sz w:val="24"/>
          <w:szCs w:val="24"/>
        </w:rPr>
        <w:t>contribution to a nation-building narrative for the divided state</w:t>
      </w:r>
      <w:r w:rsidR="001D456D">
        <w:rPr>
          <w:rFonts w:ascii="Times New Roman" w:hAnsi="Times New Roman" w:cs="Times New Roman"/>
          <w:sz w:val="24"/>
          <w:szCs w:val="24"/>
        </w:rPr>
        <w:t xml:space="preserve"> as </w:t>
      </w:r>
      <w:r w:rsidR="00BE6152">
        <w:rPr>
          <w:rFonts w:ascii="Times New Roman" w:hAnsi="Times New Roman" w:cs="Times New Roman"/>
          <w:sz w:val="24"/>
          <w:szCs w:val="24"/>
        </w:rPr>
        <w:t xml:space="preserve">one </w:t>
      </w:r>
      <w:r w:rsidR="001D456D">
        <w:rPr>
          <w:rFonts w:ascii="Times New Roman" w:hAnsi="Times New Roman" w:cs="Times New Roman"/>
          <w:sz w:val="24"/>
          <w:szCs w:val="24"/>
        </w:rPr>
        <w:t xml:space="preserve">of </w:t>
      </w:r>
      <w:r w:rsidR="00BE6152">
        <w:rPr>
          <w:rFonts w:ascii="Times New Roman" w:hAnsi="Times New Roman" w:cs="Times New Roman"/>
          <w:sz w:val="24"/>
          <w:szCs w:val="24"/>
        </w:rPr>
        <w:t>i</w:t>
      </w:r>
      <w:r w:rsidR="00723CDC">
        <w:rPr>
          <w:rFonts w:ascii="Times New Roman" w:hAnsi="Times New Roman" w:cs="Times New Roman"/>
          <w:sz w:val="24"/>
          <w:szCs w:val="24"/>
        </w:rPr>
        <w:t>ts key aims</w:t>
      </w:r>
      <w:r w:rsidR="0004527C">
        <w:rPr>
          <w:rFonts w:ascii="Times New Roman" w:hAnsi="Times New Roman" w:cs="Times New Roman"/>
          <w:sz w:val="24"/>
          <w:szCs w:val="24"/>
        </w:rPr>
        <w:t xml:space="preserve">. </w:t>
      </w:r>
      <w:r>
        <w:rPr>
          <w:rFonts w:ascii="Times New Roman" w:hAnsi="Times New Roman" w:cs="Times New Roman"/>
          <w:sz w:val="24"/>
          <w:szCs w:val="24"/>
        </w:rPr>
        <w:t>Second</w:t>
      </w:r>
      <w:r w:rsidR="0004527C">
        <w:rPr>
          <w:rFonts w:ascii="Times New Roman" w:hAnsi="Times New Roman" w:cs="Times New Roman"/>
          <w:sz w:val="24"/>
          <w:szCs w:val="24"/>
        </w:rPr>
        <w:t xml:space="preserve">, I </w:t>
      </w:r>
      <w:r w:rsidR="001D456D">
        <w:rPr>
          <w:rFonts w:ascii="Times New Roman" w:hAnsi="Times New Roman" w:cs="Times New Roman"/>
          <w:sz w:val="24"/>
          <w:szCs w:val="24"/>
        </w:rPr>
        <w:t>examine</w:t>
      </w:r>
      <w:r w:rsidR="0004527C">
        <w:rPr>
          <w:rFonts w:ascii="Times New Roman" w:hAnsi="Times New Roman" w:cs="Times New Roman"/>
          <w:sz w:val="24"/>
          <w:szCs w:val="24"/>
        </w:rPr>
        <w:t xml:space="preserve"> the lengthy process of attempting to establish the commission, detailing the changing roles and positions of national and international</w:t>
      </w:r>
      <w:r w:rsidR="001D456D">
        <w:rPr>
          <w:rFonts w:ascii="Times New Roman" w:hAnsi="Times New Roman" w:cs="Times New Roman"/>
          <w:sz w:val="24"/>
          <w:szCs w:val="24"/>
        </w:rPr>
        <w:t xml:space="preserve"> actors at different stages. I argue that the main drivers </w:t>
      </w:r>
      <w:r w:rsidR="00C36E49">
        <w:rPr>
          <w:rFonts w:ascii="Times New Roman" w:hAnsi="Times New Roman" w:cs="Times New Roman"/>
          <w:sz w:val="24"/>
          <w:szCs w:val="24"/>
        </w:rPr>
        <w:t>of</w:t>
      </w:r>
      <w:r w:rsidR="001D456D">
        <w:rPr>
          <w:rFonts w:ascii="Times New Roman" w:hAnsi="Times New Roman" w:cs="Times New Roman"/>
          <w:sz w:val="24"/>
          <w:szCs w:val="24"/>
        </w:rPr>
        <w:t xml:space="preserve"> </w:t>
      </w:r>
      <w:r>
        <w:rPr>
          <w:rFonts w:ascii="Times New Roman" w:hAnsi="Times New Roman" w:cs="Times New Roman"/>
          <w:sz w:val="24"/>
          <w:szCs w:val="24"/>
        </w:rPr>
        <w:t xml:space="preserve">all </w:t>
      </w:r>
      <w:r w:rsidR="001D456D">
        <w:rPr>
          <w:rFonts w:ascii="Times New Roman" w:hAnsi="Times New Roman" w:cs="Times New Roman"/>
          <w:sz w:val="24"/>
          <w:szCs w:val="24"/>
        </w:rPr>
        <w:t xml:space="preserve">these initiatives were the commission’s international sponsors, who struggled to </w:t>
      </w:r>
      <w:r w:rsidR="00C36E49">
        <w:rPr>
          <w:rFonts w:ascii="Times New Roman" w:hAnsi="Times New Roman" w:cs="Times New Roman"/>
          <w:sz w:val="24"/>
          <w:szCs w:val="24"/>
        </w:rPr>
        <w:t>find</w:t>
      </w:r>
      <w:r w:rsidR="001D456D">
        <w:rPr>
          <w:rFonts w:ascii="Times New Roman" w:hAnsi="Times New Roman" w:cs="Times New Roman"/>
          <w:sz w:val="24"/>
          <w:szCs w:val="24"/>
        </w:rPr>
        <w:t xml:space="preserve"> domestic political </w:t>
      </w:r>
      <w:r w:rsidR="00C36E49">
        <w:rPr>
          <w:rFonts w:ascii="Times New Roman" w:hAnsi="Times New Roman" w:cs="Times New Roman"/>
          <w:sz w:val="24"/>
          <w:szCs w:val="24"/>
        </w:rPr>
        <w:t>partners</w:t>
      </w:r>
      <w:r w:rsidR="001D456D">
        <w:rPr>
          <w:rFonts w:ascii="Times New Roman" w:hAnsi="Times New Roman" w:cs="Times New Roman"/>
          <w:sz w:val="24"/>
          <w:szCs w:val="24"/>
        </w:rPr>
        <w:t xml:space="preserve"> </w:t>
      </w:r>
      <w:r w:rsidR="00C36E49">
        <w:rPr>
          <w:rFonts w:ascii="Times New Roman" w:hAnsi="Times New Roman" w:cs="Times New Roman"/>
          <w:sz w:val="24"/>
          <w:szCs w:val="24"/>
        </w:rPr>
        <w:t>for what was</w:t>
      </w:r>
      <w:r w:rsidR="001D456D">
        <w:rPr>
          <w:rFonts w:ascii="Times New Roman" w:hAnsi="Times New Roman" w:cs="Times New Roman"/>
          <w:sz w:val="24"/>
          <w:szCs w:val="24"/>
        </w:rPr>
        <w:t xml:space="preserve"> </w:t>
      </w:r>
      <w:r w:rsidR="00DE3755">
        <w:rPr>
          <w:rFonts w:ascii="Times New Roman" w:hAnsi="Times New Roman" w:cs="Times New Roman"/>
          <w:sz w:val="24"/>
          <w:szCs w:val="24"/>
        </w:rPr>
        <w:t xml:space="preserve">to be </w:t>
      </w:r>
      <w:r w:rsidR="001D456D">
        <w:rPr>
          <w:rFonts w:ascii="Times New Roman" w:hAnsi="Times New Roman" w:cs="Times New Roman"/>
          <w:sz w:val="24"/>
          <w:szCs w:val="24"/>
        </w:rPr>
        <w:t xml:space="preserve">an official state institution. </w:t>
      </w:r>
      <w:r w:rsidR="0004527C">
        <w:rPr>
          <w:rFonts w:ascii="Times New Roman" w:hAnsi="Times New Roman" w:cs="Times New Roman"/>
          <w:sz w:val="24"/>
          <w:szCs w:val="24"/>
        </w:rPr>
        <w:t xml:space="preserve">The third part of the article seeks to identify and explain the </w:t>
      </w:r>
      <w:r w:rsidR="00DE3755">
        <w:rPr>
          <w:rFonts w:ascii="Times New Roman" w:hAnsi="Times New Roman" w:cs="Times New Roman"/>
          <w:sz w:val="24"/>
          <w:szCs w:val="24"/>
        </w:rPr>
        <w:t>resistance</w:t>
      </w:r>
      <w:r w:rsidR="0004527C">
        <w:rPr>
          <w:rFonts w:ascii="Times New Roman" w:hAnsi="Times New Roman" w:cs="Times New Roman"/>
          <w:sz w:val="24"/>
          <w:szCs w:val="24"/>
        </w:rPr>
        <w:t xml:space="preserve"> encountered during this process </w:t>
      </w:r>
      <w:r w:rsidR="001D52DB">
        <w:rPr>
          <w:rFonts w:ascii="Times New Roman" w:hAnsi="Times New Roman" w:cs="Times New Roman"/>
          <w:sz w:val="24"/>
          <w:szCs w:val="24"/>
        </w:rPr>
        <w:t>leading to its</w:t>
      </w:r>
      <w:r w:rsidR="0004527C">
        <w:rPr>
          <w:rFonts w:ascii="Times New Roman" w:hAnsi="Times New Roman" w:cs="Times New Roman"/>
          <w:sz w:val="24"/>
          <w:szCs w:val="24"/>
        </w:rPr>
        <w:t xml:space="preserve"> </w:t>
      </w:r>
      <w:r w:rsidR="001D52DB">
        <w:rPr>
          <w:rFonts w:ascii="Times New Roman" w:hAnsi="Times New Roman" w:cs="Times New Roman"/>
          <w:sz w:val="24"/>
          <w:szCs w:val="24"/>
        </w:rPr>
        <w:t>eventual</w:t>
      </w:r>
      <w:r w:rsidR="002A1E40">
        <w:rPr>
          <w:rFonts w:ascii="Times New Roman" w:hAnsi="Times New Roman" w:cs="Times New Roman"/>
          <w:sz w:val="24"/>
          <w:szCs w:val="24"/>
        </w:rPr>
        <w:t xml:space="preserve"> failure</w:t>
      </w:r>
      <w:r w:rsidR="001D456D">
        <w:rPr>
          <w:rFonts w:ascii="Times New Roman" w:hAnsi="Times New Roman" w:cs="Times New Roman"/>
          <w:sz w:val="24"/>
          <w:szCs w:val="24"/>
        </w:rPr>
        <w:t>. I</w:t>
      </w:r>
      <w:r w:rsidR="00944A92">
        <w:rPr>
          <w:rFonts w:ascii="Times New Roman" w:hAnsi="Times New Roman" w:cs="Times New Roman"/>
          <w:sz w:val="24"/>
          <w:szCs w:val="24"/>
        </w:rPr>
        <w:t xml:space="preserve">t highlights the </w:t>
      </w:r>
      <w:r w:rsidR="0082774B">
        <w:rPr>
          <w:rFonts w:ascii="Times New Roman" w:hAnsi="Times New Roman" w:cs="Times New Roman"/>
          <w:sz w:val="24"/>
          <w:szCs w:val="24"/>
        </w:rPr>
        <w:t xml:space="preserve">political obstacles and </w:t>
      </w:r>
      <w:r w:rsidR="00944A92">
        <w:rPr>
          <w:rFonts w:ascii="Times New Roman" w:hAnsi="Times New Roman" w:cs="Times New Roman"/>
          <w:sz w:val="24"/>
          <w:szCs w:val="24"/>
        </w:rPr>
        <w:t xml:space="preserve">ultimately insurmountable problems </w:t>
      </w:r>
      <w:r w:rsidR="00944A92">
        <w:rPr>
          <w:rFonts w:ascii="Times New Roman" w:hAnsi="Times New Roman" w:cs="Times New Roman"/>
          <w:sz w:val="24"/>
          <w:szCs w:val="24"/>
        </w:rPr>
        <w:lastRenderedPageBreak/>
        <w:t xml:space="preserve">of </w:t>
      </w:r>
      <w:r w:rsidR="0082774B">
        <w:rPr>
          <w:rFonts w:ascii="Times New Roman" w:hAnsi="Times New Roman" w:cs="Times New Roman"/>
          <w:sz w:val="24"/>
          <w:szCs w:val="24"/>
        </w:rPr>
        <w:t xml:space="preserve">domestic </w:t>
      </w:r>
      <w:r w:rsidR="00944A92">
        <w:rPr>
          <w:rFonts w:ascii="Times New Roman" w:hAnsi="Times New Roman" w:cs="Times New Roman"/>
          <w:sz w:val="24"/>
          <w:szCs w:val="24"/>
        </w:rPr>
        <w:t xml:space="preserve">legitimacy and ownership that the </w:t>
      </w:r>
      <w:r w:rsidR="00E15408">
        <w:rPr>
          <w:rFonts w:ascii="Times New Roman" w:hAnsi="Times New Roman" w:cs="Times New Roman"/>
          <w:sz w:val="24"/>
          <w:szCs w:val="24"/>
        </w:rPr>
        <w:t>initiative</w:t>
      </w:r>
      <w:r w:rsidR="0082774B">
        <w:rPr>
          <w:rFonts w:ascii="Times New Roman" w:hAnsi="Times New Roman" w:cs="Times New Roman"/>
          <w:sz w:val="24"/>
          <w:szCs w:val="24"/>
        </w:rPr>
        <w:t xml:space="preserve"> faced,</w:t>
      </w:r>
      <w:r w:rsidR="00023D7B">
        <w:rPr>
          <w:rFonts w:ascii="Times New Roman" w:hAnsi="Times New Roman" w:cs="Times New Roman"/>
          <w:sz w:val="24"/>
          <w:szCs w:val="24"/>
        </w:rPr>
        <w:t xml:space="preserve"> even among those groups that were viewed as its </w:t>
      </w:r>
      <w:r w:rsidR="00E34CA4">
        <w:rPr>
          <w:rFonts w:ascii="Times New Roman" w:hAnsi="Times New Roman" w:cs="Times New Roman"/>
          <w:sz w:val="24"/>
          <w:szCs w:val="24"/>
        </w:rPr>
        <w:t xml:space="preserve">prime </w:t>
      </w:r>
      <w:r w:rsidR="00023D7B">
        <w:rPr>
          <w:rFonts w:ascii="Times New Roman" w:hAnsi="Times New Roman" w:cs="Times New Roman"/>
          <w:sz w:val="24"/>
          <w:szCs w:val="24"/>
        </w:rPr>
        <w:t>beneficiaries</w:t>
      </w:r>
      <w:r w:rsidR="00EC1E2F">
        <w:rPr>
          <w:rFonts w:ascii="Times New Roman" w:hAnsi="Times New Roman" w:cs="Times New Roman"/>
          <w:sz w:val="24"/>
          <w:szCs w:val="24"/>
        </w:rPr>
        <w:t xml:space="preserve">, </w:t>
      </w:r>
      <w:r w:rsidR="00E15408">
        <w:rPr>
          <w:rFonts w:ascii="Times New Roman" w:hAnsi="Times New Roman" w:cs="Times New Roman"/>
          <w:sz w:val="24"/>
          <w:szCs w:val="24"/>
        </w:rPr>
        <w:t>namely</w:t>
      </w:r>
      <w:r w:rsidR="00EC1E2F">
        <w:rPr>
          <w:rFonts w:ascii="Times New Roman" w:hAnsi="Times New Roman" w:cs="Times New Roman"/>
          <w:sz w:val="24"/>
          <w:szCs w:val="24"/>
        </w:rPr>
        <w:t xml:space="preserve"> </w:t>
      </w:r>
      <w:r w:rsidR="00153079">
        <w:rPr>
          <w:rFonts w:ascii="Times New Roman" w:hAnsi="Times New Roman" w:cs="Times New Roman"/>
          <w:sz w:val="24"/>
          <w:szCs w:val="24"/>
        </w:rPr>
        <w:t>the survivors of war crimes and the families of victims</w:t>
      </w:r>
      <w:r w:rsidR="00E15408">
        <w:rPr>
          <w:rFonts w:ascii="Times New Roman" w:hAnsi="Times New Roman" w:cs="Times New Roman"/>
          <w:sz w:val="24"/>
          <w:szCs w:val="24"/>
        </w:rPr>
        <w:t>.</w:t>
      </w:r>
      <w:r w:rsidR="0082774B">
        <w:rPr>
          <w:rFonts w:ascii="Times New Roman" w:hAnsi="Times New Roman" w:cs="Times New Roman"/>
          <w:sz w:val="24"/>
          <w:szCs w:val="24"/>
        </w:rPr>
        <w:t xml:space="preserve"> </w:t>
      </w:r>
      <w:r w:rsidR="001D456D">
        <w:rPr>
          <w:rFonts w:ascii="Times New Roman" w:hAnsi="Times New Roman" w:cs="Times New Roman"/>
          <w:sz w:val="24"/>
          <w:szCs w:val="24"/>
        </w:rPr>
        <w:t>I</w:t>
      </w:r>
      <w:r w:rsidR="00E15408">
        <w:rPr>
          <w:rFonts w:ascii="Times New Roman" w:hAnsi="Times New Roman" w:cs="Times New Roman"/>
          <w:sz w:val="24"/>
          <w:szCs w:val="24"/>
        </w:rPr>
        <w:t xml:space="preserve">t </w:t>
      </w:r>
      <w:r w:rsidR="001D456D">
        <w:rPr>
          <w:rFonts w:ascii="Times New Roman" w:hAnsi="Times New Roman" w:cs="Times New Roman"/>
          <w:sz w:val="24"/>
          <w:szCs w:val="24"/>
        </w:rPr>
        <w:t xml:space="preserve">also </w:t>
      </w:r>
      <w:r w:rsidR="00043D63">
        <w:rPr>
          <w:rFonts w:ascii="Times New Roman" w:hAnsi="Times New Roman" w:cs="Times New Roman"/>
          <w:sz w:val="24"/>
          <w:szCs w:val="24"/>
        </w:rPr>
        <w:t>examines</w:t>
      </w:r>
      <w:r w:rsidR="0082774B">
        <w:rPr>
          <w:rFonts w:ascii="Times New Roman" w:hAnsi="Times New Roman" w:cs="Times New Roman"/>
          <w:sz w:val="24"/>
          <w:szCs w:val="24"/>
        </w:rPr>
        <w:t xml:space="preserve"> the </w:t>
      </w:r>
      <w:r w:rsidR="00944A92">
        <w:rPr>
          <w:rFonts w:ascii="Times New Roman" w:hAnsi="Times New Roman" w:cs="Times New Roman"/>
          <w:sz w:val="24"/>
          <w:szCs w:val="24"/>
        </w:rPr>
        <w:t xml:space="preserve">considerable opposition </w:t>
      </w:r>
      <w:r w:rsidR="0082774B">
        <w:rPr>
          <w:rFonts w:ascii="Times New Roman" w:hAnsi="Times New Roman" w:cs="Times New Roman"/>
          <w:sz w:val="24"/>
          <w:szCs w:val="24"/>
        </w:rPr>
        <w:t xml:space="preserve">that </w:t>
      </w:r>
      <w:r w:rsidR="00944A92">
        <w:rPr>
          <w:rFonts w:ascii="Times New Roman" w:hAnsi="Times New Roman" w:cs="Times New Roman"/>
          <w:sz w:val="24"/>
          <w:szCs w:val="24"/>
        </w:rPr>
        <w:t xml:space="preserve">the initiative </w:t>
      </w:r>
      <w:r w:rsidR="0082774B">
        <w:rPr>
          <w:rFonts w:ascii="Times New Roman" w:hAnsi="Times New Roman" w:cs="Times New Roman"/>
          <w:sz w:val="24"/>
          <w:szCs w:val="24"/>
        </w:rPr>
        <w:t>en</w:t>
      </w:r>
      <w:r w:rsidR="00051776">
        <w:rPr>
          <w:rFonts w:ascii="Times New Roman" w:hAnsi="Times New Roman" w:cs="Times New Roman"/>
          <w:sz w:val="24"/>
          <w:szCs w:val="24"/>
        </w:rPr>
        <w:t>c</w:t>
      </w:r>
      <w:r w:rsidR="0082774B">
        <w:rPr>
          <w:rFonts w:ascii="Times New Roman" w:hAnsi="Times New Roman" w:cs="Times New Roman"/>
          <w:sz w:val="24"/>
          <w:szCs w:val="24"/>
        </w:rPr>
        <w:t xml:space="preserve">ountered </w:t>
      </w:r>
      <w:r w:rsidR="00E34CA4">
        <w:rPr>
          <w:rFonts w:ascii="Times New Roman" w:hAnsi="Times New Roman" w:cs="Times New Roman"/>
          <w:sz w:val="24"/>
          <w:szCs w:val="24"/>
        </w:rPr>
        <w:t xml:space="preserve">on the international level </w:t>
      </w:r>
      <w:r w:rsidR="0082774B">
        <w:rPr>
          <w:rFonts w:ascii="Times New Roman" w:hAnsi="Times New Roman" w:cs="Times New Roman"/>
          <w:sz w:val="24"/>
          <w:szCs w:val="24"/>
        </w:rPr>
        <w:t>from</w:t>
      </w:r>
      <w:r w:rsidR="00944A92">
        <w:rPr>
          <w:rFonts w:ascii="Times New Roman" w:hAnsi="Times New Roman" w:cs="Times New Roman"/>
          <w:sz w:val="24"/>
          <w:szCs w:val="24"/>
        </w:rPr>
        <w:t xml:space="preserve"> the other main transitional justice institution </w:t>
      </w:r>
      <w:r w:rsidR="00E34CA4">
        <w:rPr>
          <w:rFonts w:ascii="Times New Roman" w:hAnsi="Times New Roman" w:cs="Times New Roman"/>
          <w:sz w:val="24"/>
          <w:szCs w:val="24"/>
        </w:rPr>
        <w:t>for</w:t>
      </w:r>
      <w:r w:rsidR="00944A92">
        <w:rPr>
          <w:rFonts w:ascii="Times New Roman" w:hAnsi="Times New Roman" w:cs="Times New Roman"/>
          <w:sz w:val="24"/>
          <w:szCs w:val="24"/>
        </w:rPr>
        <w:t xml:space="preserve"> the region—the International Criminal Tribunal for the former Yugoslavia (ICTY). Despite the claims </w:t>
      </w:r>
      <w:r w:rsidR="00153079">
        <w:rPr>
          <w:rFonts w:ascii="Times New Roman" w:hAnsi="Times New Roman" w:cs="Times New Roman"/>
          <w:sz w:val="24"/>
          <w:szCs w:val="24"/>
        </w:rPr>
        <w:t>by many</w:t>
      </w:r>
      <w:r w:rsidR="00944A92">
        <w:rPr>
          <w:rFonts w:ascii="Times New Roman" w:hAnsi="Times New Roman" w:cs="Times New Roman"/>
          <w:sz w:val="24"/>
          <w:szCs w:val="24"/>
        </w:rPr>
        <w:t xml:space="preserve"> transitional justice </w:t>
      </w:r>
      <w:r w:rsidR="00153079">
        <w:rPr>
          <w:rFonts w:ascii="Times New Roman" w:hAnsi="Times New Roman" w:cs="Times New Roman"/>
          <w:sz w:val="24"/>
          <w:szCs w:val="24"/>
        </w:rPr>
        <w:t>advocates</w:t>
      </w:r>
      <w:r w:rsidR="00944A92">
        <w:rPr>
          <w:rFonts w:ascii="Times New Roman" w:hAnsi="Times New Roman" w:cs="Times New Roman"/>
          <w:sz w:val="24"/>
          <w:szCs w:val="24"/>
        </w:rPr>
        <w:t xml:space="preserve"> about the complementarity of </w:t>
      </w:r>
      <w:r w:rsidR="0082774B">
        <w:rPr>
          <w:rFonts w:ascii="Times New Roman" w:hAnsi="Times New Roman" w:cs="Times New Roman"/>
          <w:sz w:val="24"/>
          <w:szCs w:val="24"/>
        </w:rPr>
        <w:t>various</w:t>
      </w:r>
      <w:r w:rsidR="00944A92">
        <w:rPr>
          <w:rFonts w:ascii="Times New Roman" w:hAnsi="Times New Roman" w:cs="Times New Roman"/>
          <w:sz w:val="24"/>
          <w:szCs w:val="24"/>
        </w:rPr>
        <w:t xml:space="preserve"> mechanisms for dealing with the past,</w:t>
      </w:r>
      <w:r w:rsidR="00C36E49">
        <w:rPr>
          <w:rStyle w:val="FootnoteReference"/>
          <w:rFonts w:ascii="Times New Roman" w:hAnsi="Times New Roman" w:cs="Times New Roman"/>
          <w:sz w:val="24"/>
          <w:szCs w:val="24"/>
        </w:rPr>
        <w:footnoteReference w:id="9"/>
      </w:r>
      <w:r w:rsidR="003B1621">
        <w:rPr>
          <w:rFonts w:ascii="Times New Roman" w:hAnsi="Times New Roman" w:cs="Times New Roman"/>
          <w:sz w:val="24"/>
          <w:szCs w:val="24"/>
        </w:rPr>
        <w:t xml:space="preserve"> I </w:t>
      </w:r>
      <w:r w:rsidR="00C27425">
        <w:rPr>
          <w:rFonts w:ascii="Times New Roman" w:hAnsi="Times New Roman" w:cs="Times New Roman"/>
          <w:sz w:val="24"/>
          <w:szCs w:val="24"/>
        </w:rPr>
        <w:t>propose</w:t>
      </w:r>
      <w:r w:rsidR="003B1621">
        <w:rPr>
          <w:rFonts w:ascii="Times New Roman" w:hAnsi="Times New Roman" w:cs="Times New Roman"/>
          <w:sz w:val="24"/>
          <w:szCs w:val="24"/>
        </w:rPr>
        <w:t xml:space="preserve"> that</w:t>
      </w:r>
      <w:r w:rsidR="00944A92">
        <w:rPr>
          <w:rFonts w:ascii="Times New Roman" w:hAnsi="Times New Roman" w:cs="Times New Roman"/>
          <w:sz w:val="24"/>
          <w:szCs w:val="24"/>
        </w:rPr>
        <w:t xml:space="preserve"> the failure of the Bosnian TRC tells a very different story, of institutional rivalry and competition for resources.</w:t>
      </w:r>
    </w:p>
    <w:p w:rsidR="00C27425" w:rsidRDefault="00C27425" w:rsidP="00DE3755">
      <w:pPr>
        <w:spacing w:line="360" w:lineRule="auto"/>
        <w:rPr>
          <w:rFonts w:ascii="Times New Roman" w:hAnsi="Times New Roman" w:cs="Times New Roman"/>
          <w:sz w:val="24"/>
          <w:szCs w:val="24"/>
        </w:rPr>
      </w:pPr>
    </w:p>
    <w:p w:rsidR="00C3169F" w:rsidRDefault="00C3169F" w:rsidP="00C3169F">
      <w:pPr>
        <w:spacing w:line="360" w:lineRule="auto"/>
        <w:rPr>
          <w:rFonts w:ascii="Times New Roman" w:hAnsi="Times New Roman" w:cs="Times New Roman"/>
          <w:b/>
          <w:i/>
          <w:sz w:val="24"/>
          <w:szCs w:val="24"/>
        </w:rPr>
      </w:pPr>
      <w:r>
        <w:rPr>
          <w:rFonts w:ascii="Times New Roman" w:hAnsi="Times New Roman" w:cs="Times New Roman"/>
          <w:b/>
          <w:i/>
          <w:sz w:val="24"/>
          <w:szCs w:val="24"/>
        </w:rPr>
        <w:t>Why a Truth Commission for Bosnia?</w:t>
      </w:r>
    </w:p>
    <w:p w:rsidR="00315118" w:rsidRDefault="00EA33FB" w:rsidP="00D749BB">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idea of a truth and reconciliation commission for Bosnia </w:t>
      </w:r>
      <w:r w:rsidR="00C005C5">
        <w:rPr>
          <w:rFonts w:ascii="Times New Roman" w:hAnsi="Times New Roman" w:cs="Times New Roman"/>
          <w:sz w:val="24"/>
          <w:szCs w:val="24"/>
        </w:rPr>
        <w:t xml:space="preserve">first </w:t>
      </w:r>
      <w:r>
        <w:rPr>
          <w:rFonts w:ascii="Times New Roman" w:hAnsi="Times New Roman" w:cs="Times New Roman"/>
          <w:sz w:val="24"/>
          <w:szCs w:val="24"/>
        </w:rPr>
        <w:t xml:space="preserve">arose </w:t>
      </w:r>
      <w:r w:rsidR="00CC705F">
        <w:rPr>
          <w:rFonts w:ascii="Times New Roman" w:hAnsi="Times New Roman" w:cs="Times New Roman"/>
          <w:sz w:val="24"/>
          <w:szCs w:val="24"/>
        </w:rPr>
        <w:t xml:space="preserve">in the international human rights community </w:t>
      </w:r>
      <w:r w:rsidR="00CE6B12">
        <w:rPr>
          <w:rFonts w:ascii="Times New Roman" w:hAnsi="Times New Roman" w:cs="Times New Roman"/>
          <w:sz w:val="24"/>
          <w:szCs w:val="24"/>
        </w:rPr>
        <w:t>in the early 1990s</w:t>
      </w:r>
      <w:r w:rsidR="00CC705F">
        <w:rPr>
          <w:rFonts w:ascii="Times New Roman" w:hAnsi="Times New Roman" w:cs="Times New Roman"/>
          <w:sz w:val="24"/>
          <w:szCs w:val="24"/>
        </w:rPr>
        <w:t xml:space="preserve">, while the Bosnian war was still raging </w:t>
      </w:r>
      <w:r w:rsidR="00B0295B">
        <w:rPr>
          <w:rFonts w:ascii="Times New Roman" w:hAnsi="Times New Roman" w:cs="Times New Roman"/>
          <w:sz w:val="24"/>
          <w:szCs w:val="24"/>
        </w:rPr>
        <w:t>with</w:t>
      </w:r>
      <w:r w:rsidR="00CC705F">
        <w:rPr>
          <w:rFonts w:ascii="Times New Roman" w:hAnsi="Times New Roman" w:cs="Times New Roman"/>
          <w:sz w:val="24"/>
          <w:szCs w:val="24"/>
        </w:rPr>
        <w:t xml:space="preserve"> growing evidence of mass atrocity crimes.</w:t>
      </w:r>
      <w:r w:rsidR="00131981">
        <w:rPr>
          <w:rStyle w:val="FootnoteReference"/>
          <w:rFonts w:ascii="Times New Roman" w:hAnsi="Times New Roman" w:cs="Times New Roman"/>
          <w:sz w:val="24"/>
          <w:szCs w:val="24"/>
        </w:rPr>
        <w:footnoteReference w:id="10"/>
      </w:r>
      <w:r w:rsidR="00CC705F">
        <w:rPr>
          <w:rFonts w:ascii="Times New Roman" w:hAnsi="Times New Roman" w:cs="Times New Roman"/>
          <w:sz w:val="24"/>
          <w:szCs w:val="24"/>
        </w:rPr>
        <w:t xml:space="preserve"> </w:t>
      </w:r>
      <w:r w:rsidR="00CE50FF">
        <w:rPr>
          <w:rFonts w:ascii="Times New Roman" w:hAnsi="Times New Roman" w:cs="Times New Roman"/>
          <w:sz w:val="24"/>
          <w:szCs w:val="24"/>
        </w:rPr>
        <w:t xml:space="preserve">It was initially considered in </w:t>
      </w:r>
      <w:r w:rsidR="00955181">
        <w:rPr>
          <w:rFonts w:ascii="Times New Roman" w:hAnsi="Times New Roman" w:cs="Times New Roman"/>
          <w:sz w:val="24"/>
          <w:szCs w:val="24"/>
        </w:rPr>
        <w:t>the context of debates about the creation of</w:t>
      </w:r>
      <w:r w:rsidR="00CE50FF">
        <w:rPr>
          <w:rFonts w:ascii="Times New Roman" w:hAnsi="Times New Roman" w:cs="Times New Roman"/>
          <w:sz w:val="24"/>
          <w:szCs w:val="24"/>
        </w:rPr>
        <w:t xml:space="preserve"> </w:t>
      </w:r>
      <w:r>
        <w:rPr>
          <w:rFonts w:ascii="Times New Roman" w:hAnsi="Times New Roman" w:cs="Times New Roman"/>
          <w:sz w:val="24"/>
          <w:szCs w:val="24"/>
        </w:rPr>
        <w:t>an international criminal tribunal</w:t>
      </w:r>
      <w:r w:rsidR="00955181">
        <w:rPr>
          <w:rFonts w:ascii="Times New Roman" w:hAnsi="Times New Roman" w:cs="Times New Roman"/>
          <w:sz w:val="24"/>
          <w:szCs w:val="24"/>
        </w:rPr>
        <w:t xml:space="preserve"> </w:t>
      </w:r>
      <w:r>
        <w:rPr>
          <w:rFonts w:ascii="Times New Roman" w:hAnsi="Times New Roman" w:cs="Times New Roman"/>
          <w:sz w:val="24"/>
          <w:szCs w:val="24"/>
        </w:rPr>
        <w:t>revolv</w:t>
      </w:r>
      <w:r w:rsidR="008D7316">
        <w:rPr>
          <w:rFonts w:ascii="Times New Roman" w:hAnsi="Times New Roman" w:cs="Times New Roman"/>
          <w:sz w:val="24"/>
          <w:szCs w:val="24"/>
        </w:rPr>
        <w:t>ing</w:t>
      </w:r>
      <w:r>
        <w:rPr>
          <w:rFonts w:ascii="Times New Roman" w:hAnsi="Times New Roman" w:cs="Times New Roman"/>
          <w:sz w:val="24"/>
          <w:szCs w:val="24"/>
        </w:rPr>
        <w:t xml:space="preserve"> around the feasibility of a judicial response to a</w:t>
      </w:r>
      <w:r w:rsidR="00CE50FF">
        <w:rPr>
          <w:rFonts w:ascii="Times New Roman" w:hAnsi="Times New Roman" w:cs="Times New Roman"/>
          <w:sz w:val="24"/>
          <w:szCs w:val="24"/>
        </w:rPr>
        <w:t xml:space="preserve"> conflict that was</w:t>
      </w:r>
      <w:r>
        <w:rPr>
          <w:rFonts w:ascii="Times New Roman" w:hAnsi="Times New Roman" w:cs="Times New Roman"/>
          <w:sz w:val="24"/>
          <w:szCs w:val="24"/>
        </w:rPr>
        <w:t xml:space="preserve"> ongoing </w:t>
      </w:r>
      <w:r w:rsidR="00955181">
        <w:rPr>
          <w:rFonts w:ascii="Times New Roman" w:hAnsi="Times New Roman" w:cs="Times New Roman"/>
          <w:sz w:val="24"/>
          <w:szCs w:val="24"/>
        </w:rPr>
        <w:t xml:space="preserve">and </w:t>
      </w:r>
      <w:r>
        <w:rPr>
          <w:rFonts w:ascii="Times New Roman" w:hAnsi="Times New Roman" w:cs="Times New Roman"/>
          <w:sz w:val="24"/>
          <w:szCs w:val="24"/>
        </w:rPr>
        <w:t xml:space="preserve">in which those most responsible </w:t>
      </w:r>
      <w:r w:rsidR="00CE50FF">
        <w:rPr>
          <w:rFonts w:ascii="Times New Roman" w:hAnsi="Times New Roman" w:cs="Times New Roman"/>
          <w:sz w:val="24"/>
          <w:szCs w:val="24"/>
        </w:rPr>
        <w:t xml:space="preserve">for the atrocities </w:t>
      </w:r>
      <w:r>
        <w:rPr>
          <w:rFonts w:ascii="Times New Roman" w:hAnsi="Times New Roman" w:cs="Times New Roman"/>
          <w:sz w:val="24"/>
          <w:szCs w:val="24"/>
        </w:rPr>
        <w:t xml:space="preserve">were </w:t>
      </w:r>
      <w:r w:rsidR="0018639F">
        <w:rPr>
          <w:rFonts w:ascii="Times New Roman" w:hAnsi="Times New Roman" w:cs="Times New Roman"/>
          <w:sz w:val="24"/>
          <w:szCs w:val="24"/>
        </w:rPr>
        <w:t>still in power</w:t>
      </w:r>
      <w:r>
        <w:rPr>
          <w:rFonts w:ascii="Times New Roman" w:hAnsi="Times New Roman" w:cs="Times New Roman"/>
          <w:sz w:val="24"/>
          <w:szCs w:val="24"/>
        </w:rPr>
        <w:t>.</w:t>
      </w:r>
      <w:r w:rsidR="0018639F">
        <w:rPr>
          <w:rFonts w:ascii="Times New Roman" w:hAnsi="Times New Roman" w:cs="Times New Roman"/>
          <w:sz w:val="24"/>
          <w:szCs w:val="24"/>
        </w:rPr>
        <w:t xml:space="preserve"> S</w:t>
      </w:r>
      <w:r w:rsidR="00CE50FF">
        <w:rPr>
          <w:rFonts w:ascii="Times New Roman" w:hAnsi="Times New Roman" w:cs="Times New Roman"/>
          <w:sz w:val="24"/>
          <w:szCs w:val="24"/>
        </w:rPr>
        <w:t xml:space="preserve">ome human rights advocates </w:t>
      </w:r>
      <w:r w:rsidR="0018639F">
        <w:rPr>
          <w:rFonts w:ascii="Times New Roman" w:hAnsi="Times New Roman" w:cs="Times New Roman"/>
          <w:sz w:val="24"/>
          <w:szCs w:val="24"/>
        </w:rPr>
        <w:t xml:space="preserve">thus </w:t>
      </w:r>
      <w:r w:rsidR="00CE50FF">
        <w:rPr>
          <w:rFonts w:ascii="Times New Roman" w:hAnsi="Times New Roman" w:cs="Times New Roman"/>
          <w:sz w:val="24"/>
          <w:szCs w:val="24"/>
        </w:rPr>
        <w:t xml:space="preserve">believed </w:t>
      </w:r>
      <w:r w:rsidR="002750E2">
        <w:rPr>
          <w:rFonts w:ascii="Times New Roman" w:hAnsi="Times New Roman" w:cs="Times New Roman"/>
          <w:sz w:val="24"/>
          <w:szCs w:val="24"/>
        </w:rPr>
        <w:t xml:space="preserve">that the establishment of a war crimes tribunal was almost certain to fail </w:t>
      </w:r>
      <w:r w:rsidR="0018639F">
        <w:rPr>
          <w:rFonts w:ascii="Times New Roman" w:hAnsi="Times New Roman" w:cs="Times New Roman"/>
          <w:sz w:val="24"/>
          <w:szCs w:val="24"/>
        </w:rPr>
        <w:t>and proposed</w:t>
      </w:r>
      <w:r w:rsidR="00CE50FF">
        <w:rPr>
          <w:rFonts w:ascii="Times New Roman" w:hAnsi="Times New Roman" w:cs="Times New Roman"/>
          <w:sz w:val="24"/>
          <w:szCs w:val="24"/>
        </w:rPr>
        <w:t xml:space="preserve"> the</w:t>
      </w:r>
      <w:r w:rsidR="00955181">
        <w:rPr>
          <w:rFonts w:ascii="Times New Roman" w:hAnsi="Times New Roman" w:cs="Times New Roman"/>
          <w:sz w:val="24"/>
          <w:szCs w:val="24"/>
        </w:rPr>
        <w:t xml:space="preserve"> alternative</w:t>
      </w:r>
      <w:r w:rsidR="00B454A3">
        <w:rPr>
          <w:rFonts w:ascii="Times New Roman" w:hAnsi="Times New Roman" w:cs="Times New Roman"/>
          <w:sz w:val="24"/>
          <w:szCs w:val="24"/>
        </w:rPr>
        <w:t xml:space="preserve"> </w:t>
      </w:r>
      <w:r w:rsidR="0018639F">
        <w:rPr>
          <w:rFonts w:ascii="Times New Roman" w:hAnsi="Times New Roman" w:cs="Times New Roman"/>
          <w:sz w:val="24"/>
          <w:szCs w:val="24"/>
        </w:rPr>
        <w:t>of</w:t>
      </w:r>
      <w:r w:rsidR="00B454A3">
        <w:rPr>
          <w:rFonts w:ascii="Times New Roman" w:hAnsi="Times New Roman" w:cs="Times New Roman"/>
          <w:sz w:val="24"/>
          <w:szCs w:val="24"/>
        </w:rPr>
        <w:t xml:space="preserve"> creati</w:t>
      </w:r>
      <w:r w:rsidR="0018639F">
        <w:rPr>
          <w:rFonts w:ascii="Times New Roman" w:hAnsi="Times New Roman" w:cs="Times New Roman"/>
          <w:sz w:val="24"/>
          <w:szCs w:val="24"/>
        </w:rPr>
        <w:t>ng</w:t>
      </w:r>
      <w:r w:rsidR="00B454A3">
        <w:rPr>
          <w:rFonts w:ascii="Times New Roman" w:hAnsi="Times New Roman" w:cs="Times New Roman"/>
          <w:sz w:val="24"/>
          <w:szCs w:val="24"/>
        </w:rPr>
        <w:t xml:space="preserve"> a UN-sponsored truth commission</w:t>
      </w:r>
      <w:r w:rsidR="003025F8">
        <w:rPr>
          <w:rFonts w:ascii="Times New Roman" w:hAnsi="Times New Roman" w:cs="Times New Roman"/>
          <w:sz w:val="24"/>
          <w:szCs w:val="24"/>
        </w:rPr>
        <w:t>. In keeping with the thinking of the time</w:t>
      </w:r>
      <w:r w:rsidR="00CE50FF">
        <w:rPr>
          <w:rFonts w:ascii="Times New Roman" w:hAnsi="Times New Roman" w:cs="Times New Roman"/>
          <w:sz w:val="24"/>
          <w:szCs w:val="24"/>
        </w:rPr>
        <w:t>—influenced as it was by the Latin American experiences</w:t>
      </w:r>
      <w:r w:rsidR="0018639F">
        <w:rPr>
          <w:rFonts w:ascii="Times New Roman" w:hAnsi="Times New Roman" w:cs="Times New Roman"/>
          <w:sz w:val="24"/>
          <w:szCs w:val="24"/>
        </w:rPr>
        <w:t xml:space="preserve"> of the </w:t>
      </w:r>
      <w:r w:rsidR="00D749BB">
        <w:rPr>
          <w:rFonts w:ascii="Times New Roman" w:hAnsi="Times New Roman" w:cs="Times New Roman"/>
          <w:sz w:val="24"/>
          <w:szCs w:val="24"/>
        </w:rPr>
        <w:t>previous decade</w:t>
      </w:r>
      <w:r w:rsidR="00CE50FF">
        <w:rPr>
          <w:rFonts w:ascii="Times New Roman" w:hAnsi="Times New Roman" w:cs="Times New Roman"/>
          <w:sz w:val="24"/>
          <w:szCs w:val="24"/>
        </w:rPr>
        <w:t>—the</w:t>
      </w:r>
      <w:r w:rsidR="00955181">
        <w:rPr>
          <w:rFonts w:ascii="Times New Roman" w:hAnsi="Times New Roman" w:cs="Times New Roman"/>
          <w:sz w:val="24"/>
          <w:szCs w:val="24"/>
        </w:rPr>
        <w:t xml:space="preserve"> proponents of such an approach</w:t>
      </w:r>
      <w:r w:rsidR="00CE50FF">
        <w:rPr>
          <w:rFonts w:ascii="Times New Roman" w:hAnsi="Times New Roman" w:cs="Times New Roman"/>
          <w:sz w:val="24"/>
          <w:szCs w:val="24"/>
        </w:rPr>
        <w:t xml:space="preserve"> </w:t>
      </w:r>
      <w:r w:rsidR="003025F8">
        <w:rPr>
          <w:rFonts w:ascii="Times New Roman" w:hAnsi="Times New Roman" w:cs="Times New Roman"/>
          <w:sz w:val="24"/>
          <w:szCs w:val="24"/>
        </w:rPr>
        <w:t xml:space="preserve">foresaw the possibility of trials taking place at a later </w:t>
      </w:r>
      <w:r w:rsidR="00D749BB">
        <w:rPr>
          <w:rFonts w:ascii="Times New Roman" w:hAnsi="Times New Roman" w:cs="Times New Roman"/>
          <w:sz w:val="24"/>
          <w:szCs w:val="24"/>
        </w:rPr>
        <w:t>stage</w:t>
      </w:r>
      <w:r w:rsidR="003025F8">
        <w:rPr>
          <w:rFonts w:ascii="Times New Roman" w:hAnsi="Times New Roman" w:cs="Times New Roman"/>
          <w:sz w:val="24"/>
          <w:szCs w:val="24"/>
        </w:rPr>
        <w:t xml:space="preserve"> using the information gained by the truth commission</w:t>
      </w:r>
      <w:r w:rsidR="0072717A">
        <w:rPr>
          <w:rFonts w:ascii="Times New Roman" w:hAnsi="Times New Roman" w:cs="Times New Roman"/>
          <w:sz w:val="24"/>
          <w:szCs w:val="24"/>
        </w:rPr>
        <w:t>.</w:t>
      </w:r>
      <w:r w:rsidR="00237907">
        <w:rPr>
          <w:rStyle w:val="FootnoteReference"/>
          <w:rFonts w:ascii="Times New Roman" w:hAnsi="Times New Roman" w:cs="Times New Roman"/>
          <w:sz w:val="24"/>
          <w:szCs w:val="24"/>
        </w:rPr>
        <w:footnoteReference w:id="11"/>
      </w:r>
      <w:r w:rsidR="00D749BB">
        <w:rPr>
          <w:rFonts w:ascii="Times New Roman" w:hAnsi="Times New Roman" w:cs="Times New Roman"/>
          <w:sz w:val="24"/>
          <w:szCs w:val="24"/>
        </w:rPr>
        <w:t xml:space="preserve"> On the other hand, a</w:t>
      </w:r>
      <w:r w:rsidR="00955181">
        <w:rPr>
          <w:rFonts w:ascii="Times New Roman" w:hAnsi="Times New Roman" w:cs="Times New Roman"/>
          <w:sz w:val="24"/>
          <w:szCs w:val="24"/>
        </w:rPr>
        <w:t>dvocate</w:t>
      </w:r>
      <w:r w:rsidR="00EE6F06">
        <w:rPr>
          <w:rFonts w:ascii="Times New Roman" w:hAnsi="Times New Roman" w:cs="Times New Roman"/>
          <w:sz w:val="24"/>
          <w:szCs w:val="24"/>
        </w:rPr>
        <w:t>s</w:t>
      </w:r>
      <w:r w:rsidR="00CE6B12">
        <w:rPr>
          <w:rFonts w:ascii="Times New Roman" w:hAnsi="Times New Roman" w:cs="Times New Roman"/>
          <w:sz w:val="24"/>
          <w:szCs w:val="24"/>
        </w:rPr>
        <w:t xml:space="preserve"> of the international criminal tribunal were opposed to the idea of creating a truth commission</w:t>
      </w:r>
      <w:r w:rsidR="00534BF5">
        <w:rPr>
          <w:rFonts w:ascii="Times New Roman" w:hAnsi="Times New Roman" w:cs="Times New Roman"/>
          <w:sz w:val="24"/>
          <w:szCs w:val="24"/>
        </w:rPr>
        <w:t>, contrasting the very visible nature of the atrocities committed in Bosnia to the ‘hidden crimes’ perpetrated</w:t>
      </w:r>
      <w:r w:rsidR="00D749BB">
        <w:rPr>
          <w:rFonts w:ascii="Times New Roman" w:hAnsi="Times New Roman" w:cs="Times New Roman"/>
          <w:sz w:val="24"/>
          <w:szCs w:val="24"/>
        </w:rPr>
        <w:t xml:space="preserve"> </w:t>
      </w:r>
      <w:r w:rsidR="00534BF5">
        <w:rPr>
          <w:rFonts w:ascii="Times New Roman" w:hAnsi="Times New Roman" w:cs="Times New Roman"/>
          <w:sz w:val="24"/>
          <w:szCs w:val="24"/>
        </w:rPr>
        <w:t xml:space="preserve">by the </w:t>
      </w:r>
      <w:r w:rsidR="0025259E">
        <w:rPr>
          <w:rFonts w:ascii="Times New Roman" w:hAnsi="Times New Roman" w:cs="Times New Roman"/>
          <w:sz w:val="24"/>
          <w:szCs w:val="24"/>
        </w:rPr>
        <w:t>Latin</w:t>
      </w:r>
      <w:r w:rsidR="00D749BB">
        <w:rPr>
          <w:rFonts w:ascii="Times New Roman" w:hAnsi="Times New Roman" w:cs="Times New Roman"/>
          <w:sz w:val="24"/>
          <w:szCs w:val="24"/>
        </w:rPr>
        <w:t xml:space="preserve"> American </w:t>
      </w:r>
      <w:r w:rsidR="00534BF5">
        <w:rPr>
          <w:rFonts w:ascii="Times New Roman" w:hAnsi="Times New Roman" w:cs="Times New Roman"/>
          <w:sz w:val="24"/>
          <w:szCs w:val="24"/>
        </w:rPr>
        <w:t>military regimes</w:t>
      </w:r>
      <w:r w:rsidR="00CE6B12">
        <w:rPr>
          <w:rFonts w:ascii="Times New Roman" w:hAnsi="Times New Roman" w:cs="Times New Roman"/>
          <w:sz w:val="24"/>
          <w:szCs w:val="24"/>
        </w:rPr>
        <w:t xml:space="preserve">. </w:t>
      </w:r>
      <w:r w:rsidR="00534BF5">
        <w:rPr>
          <w:rFonts w:ascii="Times New Roman" w:hAnsi="Times New Roman" w:cs="Times New Roman"/>
          <w:sz w:val="24"/>
          <w:szCs w:val="24"/>
        </w:rPr>
        <w:t>As</w:t>
      </w:r>
      <w:r w:rsidR="00CE6B12">
        <w:rPr>
          <w:rFonts w:ascii="Times New Roman" w:hAnsi="Times New Roman" w:cs="Times New Roman"/>
          <w:sz w:val="24"/>
          <w:szCs w:val="24"/>
        </w:rPr>
        <w:t xml:space="preserve"> Aryeh Neier, </w:t>
      </w:r>
      <w:r w:rsidR="00BC7FF7">
        <w:rPr>
          <w:rFonts w:ascii="Times New Roman" w:hAnsi="Times New Roman" w:cs="Times New Roman"/>
          <w:sz w:val="24"/>
          <w:szCs w:val="24"/>
        </w:rPr>
        <w:t>the</w:t>
      </w:r>
      <w:r w:rsidR="00CE6B12">
        <w:rPr>
          <w:rFonts w:ascii="Times New Roman" w:hAnsi="Times New Roman" w:cs="Times New Roman"/>
          <w:sz w:val="24"/>
          <w:szCs w:val="24"/>
        </w:rPr>
        <w:t xml:space="preserve"> former director of Human Rights Watch</w:t>
      </w:r>
      <w:r w:rsidR="00534BF5">
        <w:rPr>
          <w:rFonts w:ascii="Times New Roman" w:hAnsi="Times New Roman" w:cs="Times New Roman"/>
          <w:sz w:val="24"/>
          <w:szCs w:val="24"/>
        </w:rPr>
        <w:t xml:space="preserve">, argued, in </w:t>
      </w:r>
      <w:r w:rsidR="00D749BB">
        <w:rPr>
          <w:rFonts w:ascii="Times New Roman" w:hAnsi="Times New Roman" w:cs="Times New Roman"/>
          <w:sz w:val="24"/>
          <w:szCs w:val="24"/>
        </w:rPr>
        <w:t>Bosnia,</w:t>
      </w:r>
      <w:r w:rsidR="00534BF5">
        <w:rPr>
          <w:rFonts w:ascii="Times New Roman" w:hAnsi="Times New Roman" w:cs="Times New Roman"/>
          <w:sz w:val="24"/>
          <w:szCs w:val="24"/>
        </w:rPr>
        <w:t xml:space="preserve"> where the crimes were both </w:t>
      </w:r>
      <w:r w:rsidR="00D749BB">
        <w:rPr>
          <w:rFonts w:ascii="Times New Roman" w:hAnsi="Times New Roman" w:cs="Times New Roman"/>
          <w:sz w:val="24"/>
          <w:szCs w:val="24"/>
        </w:rPr>
        <w:t>extensive</w:t>
      </w:r>
      <w:r w:rsidR="00534BF5">
        <w:rPr>
          <w:rFonts w:ascii="Times New Roman" w:hAnsi="Times New Roman" w:cs="Times New Roman"/>
          <w:sz w:val="24"/>
          <w:szCs w:val="24"/>
        </w:rPr>
        <w:t xml:space="preserve"> and </w:t>
      </w:r>
      <w:r w:rsidR="00D749BB">
        <w:rPr>
          <w:rFonts w:ascii="Times New Roman" w:hAnsi="Times New Roman" w:cs="Times New Roman"/>
          <w:sz w:val="24"/>
          <w:szCs w:val="24"/>
        </w:rPr>
        <w:t>visible</w:t>
      </w:r>
      <w:r w:rsidR="00534BF5">
        <w:rPr>
          <w:rFonts w:ascii="Times New Roman" w:hAnsi="Times New Roman" w:cs="Times New Roman"/>
          <w:sz w:val="24"/>
          <w:szCs w:val="24"/>
        </w:rPr>
        <w:t>, th</w:t>
      </w:r>
      <w:r w:rsidR="00CE6B12">
        <w:rPr>
          <w:rFonts w:ascii="Times New Roman" w:hAnsi="Times New Roman" w:cs="Times New Roman"/>
          <w:sz w:val="24"/>
          <w:szCs w:val="24"/>
        </w:rPr>
        <w:t xml:space="preserve">e establishment of a truth commission </w:t>
      </w:r>
      <w:r w:rsidR="00D749BB">
        <w:rPr>
          <w:rFonts w:ascii="Times New Roman" w:hAnsi="Times New Roman" w:cs="Times New Roman"/>
          <w:sz w:val="24"/>
          <w:szCs w:val="24"/>
        </w:rPr>
        <w:t>‘</w:t>
      </w:r>
      <w:r w:rsidR="00CE6B12">
        <w:rPr>
          <w:rFonts w:ascii="Times New Roman" w:hAnsi="Times New Roman" w:cs="Times New Roman"/>
          <w:sz w:val="24"/>
          <w:szCs w:val="24"/>
        </w:rPr>
        <w:t>would have been a meaningless gesture</w:t>
      </w:r>
      <w:r w:rsidR="00534BF5">
        <w:rPr>
          <w:rFonts w:ascii="Times New Roman" w:hAnsi="Times New Roman" w:cs="Times New Roman"/>
          <w:sz w:val="24"/>
          <w:szCs w:val="24"/>
        </w:rPr>
        <w:t xml:space="preserve">’ </w:t>
      </w:r>
      <w:r w:rsidR="00534BF5">
        <w:rPr>
          <w:rFonts w:ascii="Times New Roman" w:hAnsi="Times New Roman" w:cs="Times New Roman"/>
          <w:sz w:val="24"/>
          <w:szCs w:val="24"/>
        </w:rPr>
        <w:lastRenderedPageBreak/>
        <w:t>and ‘o</w:t>
      </w:r>
      <w:r w:rsidR="00493B4A">
        <w:rPr>
          <w:rFonts w:ascii="Times New Roman" w:hAnsi="Times New Roman" w:cs="Times New Roman"/>
          <w:sz w:val="24"/>
          <w:szCs w:val="24"/>
        </w:rPr>
        <w:t>nly a process to secure justice seemed appropriate</w:t>
      </w:r>
      <w:r w:rsidR="00534BF5">
        <w:rPr>
          <w:rFonts w:ascii="Times New Roman" w:hAnsi="Times New Roman" w:cs="Times New Roman"/>
          <w:sz w:val="24"/>
          <w:szCs w:val="24"/>
        </w:rPr>
        <w:t>’</w:t>
      </w:r>
      <w:r w:rsidR="00493B4A">
        <w:rPr>
          <w:rFonts w:ascii="Times New Roman" w:hAnsi="Times New Roman" w:cs="Times New Roman"/>
          <w:sz w:val="24"/>
          <w:szCs w:val="24"/>
        </w:rPr>
        <w:t>.</w:t>
      </w:r>
      <w:r w:rsidR="00493B4A">
        <w:rPr>
          <w:rStyle w:val="FootnoteReference"/>
          <w:rFonts w:ascii="Times New Roman" w:hAnsi="Times New Roman" w:cs="Times New Roman"/>
          <w:sz w:val="24"/>
          <w:szCs w:val="24"/>
        </w:rPr>
        <w:footnoteReference w:id="12"/>
      </w:r>
      <w:r w:rsidR="00534BF5">
        <w:rPr>
          <w:rFonts w:ascii="Times New Roman" w:hAnsi="Times New Roman" w:cs="Times New Roman"/>
          <w:sz w:val="24"/>
          <w:szCs w:val="24"/>
        </w:rPr>
        <w:t xml:space="preserve"> </w:t>
      </w:r>
      <w:r w:rsidR="00655A2E">
        <w:rPr>
          <w:rFonts w:ascii="Times New Roman" w:hAnsi="Times New Roman" w:cs="Times New Roman"/>
          <w:sz w:val="24"/>
          <w:szCs w:val="24"/>
        </w:rPr>
        <w:t>Neier’s intervention</w:t>
      </w:r>
      <w:r w:rsidR="00534BF5">
        <w:rPr>
          <w:rFonts w:ascii="Times New Roman" w:hAnsi="Times New Roman" w:cs="Times New Roman"/>
          <w:sz w:val="24"/>
          <w:szCs w:val="24"/>
        </w:rPr>
        <w:t xml:space="preserve"> also</w:t>
      </w:r>
      <w:r w:rsidR="00655A2E">
        <w:rPr>
          <w:rFonts w:ascii="Times New Roman" w:hAnsi="Times New Roman" w:cs="Times New Roman"/>
          <w:sz w:val="24"/>
          <w:szCs w:val="24"/>
        </w:rPr>
        <w:t xml:space="preserve"> reflected the fact that many human rights activists </w:t>
      </w:r>
      <w:r w:rsidR="002A7584">
        <w:rPr>
          <w:rFonts w:ascii="Times New Roman" w:hAnsi="Times New Roman" w:cs="Times New Roman"/>
          <w:sz w:val="24"/>
          <w:szCs w:val="24"/>
        </w:rPr>
        <w:t xml:space="preserve">at the time </w:t>
      </w:r>
      <w:r w:rsidR="00655A2E">
        <w:rPr>
          <w:rFonts w:ascii="Times New Roman" w:hAnsi="Times New Roman" w:cs="Times New Roman"/>
          <w:sz w:val="24"/>
          <w:szCs w:val="24"/>
        </w:rPr>
        <w:t xml:space="preserve">viewed truth commissions as ‘second best’—to be pursued in </w:t>
      </w:r>
      <w:r w:rsidR="008D7316">
        <w:rPr>
          <w:rFonts w:ascii="Times New Roman" w:hAnsi="Times New Roman" w:cs="Times New Roman"/>
          <w:sz w:val="24"/>
          <w:szCs w:val="24"/>
        </w:rPr>
        <w:t xml:space="preserve">those </w:t>
      </w:r>
      <w:r w:rsidR="00655A2E">
        <w:rPr>
          <w:rFonts w:ascii="Times New Roman" w:hAnsi="Times New Roman" w:cs="Times New Roman"/>
          <w:sz w:val="24"/>
          <w:szCs w:val="24"/>
        </w:rPr>
        <w:t>situations when criminal trials were impossible.</w:t>
      </w:r>
      <w:r w:rsidR="00D749BB">
        <w:rPr>
          <w:rFonts w:ascii="Times New Roman" w:hAnsi="Times New Roman" w:cs="Times New Roman"/>
          <w:sz w:val="24"/>
          <w:szCs w:val="24"/>
        </w:rPr>
        <w:t xml:space="preserve"> </w:t>
      </w:r>
    </w:p>
    <w:p w:rsidR="008C2AD0" w:rsidRDefault="00CE50FF" w:rsidP="00315118">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w:t>
      </w:r>
      <w:r w:rsidR="001D0E5D">
        <w:rPr>
          <w:rFonts w:ascii="Times New Roman" w:hAnsi="Times New Roman" w:cs="Times New Roman"/>
          <w:sz w:val="24"/>
          <w:szCs w:val="24"/>
        </w:rPr>
        <w:t xml:space="preserve">despite the victory of the </w:t>
      </w:r>
      <w:r w:rsidR="002C28B5">
        <w:rPr>
          <w:rFonts w:ascii="Times New Roman" w:hAnsi="Times New Roman" w:cs="Times New Roman"/>
          <w:sz w:val="24"/>
          <w:szCs w:val="24"/>
        </w:rPr>
        <w:t>advocates</w:t>
      </w:r>
      <w:r w:rsidR="001D0E5D">
        <w:rPr>
          <w:rFonts w:ascii="Times New Roman" w:hAnsi="Times New Roman" w:cs="Times New Roman"/>
          <w:sz w:val="24"/>
          <w:szCs w:val="24"/>
        </w:rPr>
        <w:t xml:space="preserve"> </w:t>
      </w:r>
      <w:r w:rsidR="006E223C">
        <w:rPr>
          <w:rFonts w:ascii="Times New Roman" w:hAnsi="Times New Roman" w:cs="Times New Roman"/>
          <w:sz w:val="24"/>
          <w:szCs w:val="24"/>
        </w:rPr>
        <w:t xml:space="preserve">of a judicial mechanism </w:t>
      </w:r>
      <w:r w:rsidR="001D0E5D">
        <w:rPr>
          <w:rFonts w:ascii="Times New Roman" w:hAnsi="Times New Roman" w:cs="Times New Roman"/>
          <w:sz w:val="24"/>
          <w:szCs w:val="24"/>
        </w:rPr>
        <w:t xml:space="preserve">and the </w:t>
      </w:r>
      <w:r w:rsidR="000970FC">
        <w:rPr>
          <w:rFonts w:ascii="Times New Roman" w:hAnsi="Times New Roman" w:cs="Times New Roman"/>
          <w:sz w:val="24"/>
          <w:szCs w:val="24"/>
        </w:rPr>
        <w:t xml:space="preserve">creation of the </w:t>
      </w:r>
      <w:r w:rsidR="002A7584">
        <w:rPr>
          <w:rFonts w:ascii="Times New Roman" w:hAnsi="Times New Roman" w:cs="Times New Roman"/>
          <w:sz w:val="24"/>
          <w:szCs w:val="24"/>
        </w:rPr>
        <w:t>ICTY</w:t>
      </w:r>
      <w:r>
        <w:rPr>
          <w:rFonts w:ascii="Times New Roman" w:hAnsi="Times New Roman" w:cs="Times New Roman"/>
          <w:sz w:val="24"/>
          <w:szCs w:val="24"/>
        </w:rPr>
        <w:t xml:space="preserve"> in 1993, </w:t>
      </w:r>
      <w:r w:rsidR="002139E6">
        <w:rPr>
          <w:rFonts w:ascii="Times New Roman" w:hAnsi="Times New Roman" w:cs="Times New Roman"/>
          <w:sz w:val="24"/>
          <w:szCs w:val="24"/>
        </w:rPr>
        <w:t xml:space="preserve">the </w:t>
      </w:r>
      <w:r w:rsidR="000970FC">
        <w:rPr>
          <w:rFonts w:ascii="Times New Roman" w:hAnsi="Times New Roman" w:cs="Times New Roman"/>
          <w:sz w:val="24"/>
          <w:szCs w:val="24"/>
        </w:rPr>
        <w:t>idea of a truth commission did not die</w:t>
      </w:r>
      <w:r w:rsidR="009D7E5B">
        <w:rPr>
          <w:rFonts w:ascii="Times New Roman" w:hAnsi="Times New Roman" w:cs="Times New Roman"/>
          <w:sz w:val="24"/>
          <w:szCs w:val="24"/>
        </w:rPr>
        <w:t>, as was shown by t</w:t>
      </w:r>
      <w:r w:rsidR="002A7584">
        <w:rPr>
          <w:rFonts w:ascii="Times New Roman" w:hAnsi="Times New Roman" w:cs="Times New Roman"/>
          <w:sz w:val="24"/>
          <w:szCs w:val="24"/>
        </w:rPr>
        <w:t>he</w:t>
      </w:r>
      <w:r w:rsidR="009D7E5B">
        <w:rPr>
          <w:rFonts w:ascii="Times New Roman" w:hAnsi="Times New Roman" w:cs="Times New Roman"/>
          <w:sz w:val="24"/>
          <w:szCs w:val="24"/>
        </w:rPr>
        <w:t xml:space="preserve"> </w:t>
      </w:r>
      <w:r w:rsidR="000970FC">
        <w:rPr>
          <w:rFonts w:ascii="Times New Roman" w:hAnsi="Times New Roman" w:cs="Times New Roman"/>
          <w:sz w:val="24"/>
          <w:szCs w:val="24"/>
        </w:rPr>
        <w:t>t</w:t>
      </w:r>
      <w:r w:rsidR="0007466F">
        <w:rPr>
          <w:rFonts w:ascii="Times New Roman" w:hAnsi="Times New Roman" w:cs="Times New Roman"/>
          <w:sz w:val="24"/>
          <w:szCs w:val="24"/>
        </w:rPr>
        <w:t xml:space="preserve">wo side-letters to the Dayton </w:t>
      </w:r>
      <w:r w:rsidR="000970FC">
        <w:rPr>
          <w:rFonts w:ascii="Times New Roman" w:hAnsi="Times New Roman" w:cs="Times New Roman"/>
          <w:sz w:val="24"/>
          <w:szCs w:val="24"/>
        </w:rPr>
        <w:t xml:space="preserve">Peace Agreement </w:t>
      </w:r>
      <w:r w:rsidR="009D7E5B">
        <w:rPr>
          <w:rFonts w:ascii="Times New Roman" w:hAnsi="Times New Roman" w:cs="Times New Roman"/>
          <w:sz w:val="24"/>
          <w:szCs w:val="24"/>
        </w:rPr>
        <w:t xml:space="preserve">that </w:t>
      </w:r>
      <w:r w:rsidR="0007466F">
        <w:rPr>
          <w:rFonts w:ascii="Times New Roman" w:hAnsi="Times New Roman" w:cs="Times New Roman"/>
          <w:sz w:val="24"/>
          <w:szCs w:val="24"/>
        </w:rPr>
        <w:t xml:space="preserve">foresaw the establishment of a ‘commission of inquiry’ to examine the causes, conduct and consequences of the </w:t>
      </w:r>
      <w:r w:rsidR="008C2AD0">
        <w:rPr>
          <w:rFonts w:ascii="Times New Roman" w:hAnsi="Times New Roman" w:cs="Times New Roman"/>
          <w:sz w:val="24"/>
          <w:szCs w:val="24"/>
        </w:rPr>
        <w:t xml:space="preserve">Yugoslav </w:t>
      </w:r>
      <w:r w:rsidR="0007466F">
        <w:rPr>
          <w:rFonts w:ascii="Times New Roman" w:hAnsi="Times New Roman" w:cs="Times New Roman"/>
          <w:sz w:val="24"/>
          <w:szCs w:val="24"/>
        </w:rPr>
        <w:t>conflict.</w:t>
      </w:r>
      <w:r w:rsidR="0007466F">
        <w:rPr>
          <w:rStyle w:val="FootnoteReference"/>
          <w:rFonts w:ascii="Times New Roman" w:hAnsi="Times New Roman" w:cs="Times New Roman"/>
          <w:sz w:val="24"/>
          <w:szCs w:val="24"/>
        </w:rPr>
        <w:footnoteReference w:id="13"/>
      </w:r>
      <w:r w:rsidR="001D0E5D">
        <w:rPr>
          <w:rFonts w:ascii="Times New Roman" w:hAnsi="Times New Roman" w:cs="Times New Roman"/>
          <w:sz w:val="24"/>
          <w:szCs w:val="24"/>
        </w:rPr>
        <w:t xml:space="preserve"> Clearly, the perception remained that something more than </w:t>
      </w:r>
      <w:r w:rsidR="00765669">
        <w:rPr>
          <w:rFonts w:ascii="Times New Roman" w:hAnsi="Times New Roman" w:cs="Times New Roman"/>
          <w:sz w:val="24"/>
          <w:szCs w:val="24"/>
        </w:rPr>
        <w:t xml:space="preserve">criminal </w:t>
      </w:r>
      <w:r w:rsidR="001D0E5D">
        <w:rPr>
          <w:rFonts w:ascii="Times New Roman" w:hAnsi="Times New Roman" w:cs="Times New Roman"/>
          <w:sz w:val="24"/>
          <w:szCs w:val="24"/>
        </w:rPr>
        <w:t xml:space="preserve">trials would be needed to reconstruct the Bosnian state and society after the devastating conflict of </w:t>
      </w:r>
      <w:r w:rsidR="00C27425">
        <w:rPr>
          <w:rFonts w:ascii="Times New Roman" w:hAnsi="Times New Roman" w:cs="Times New Roman"/>
          <w:sz w:val="24"/>
          <w:szCs w:val="24"/>
        </w:rPr>
        <w:t>1992-95</w:t>
      </w:r>
      <w:r w:rsidR="001D0E5D">
        <w:rPr>
          <w:rFonts w:ascii="Times New Roman" w:hAnsi="Times New Roman" w:cs="Times New Roman"/>
          <w:sz w:val="24"/>
          <w:szCs w:val="24"/>
        </w:rPr>
        <w:t>.</w:t>
      </w:r>
      <w:r w:rsidR="00BA6941">
        <w:rPr>
          <w:rFonts w:ascii="Times New Roman" w:hAnsi="Times New Roman" w:cs="Times New Roman"/>
          <w:sz w:val="24"/>
          <w:szCs w:val="24"/>
        </w:rPr>
        <w:t xml:space="preserve"> </w:t>
      </w:r>
      <w:r w:rsidR="002139E6">
        <w:rPr>
          <w:rFonts w:ascii="Times New Roman" w:hAnsi="Times New Roman" w:cs="Times New Roman"/>
          <w:sz w:val="24"/>
          <w:szCs w:val="24"/>
        </w:rPr>
        <w:t>Th</w:t>
      </w:r>
      <w:r w:rsidR="001D0E5D">
        <w:rPr>
          <w:rFonts w:ascii="Times New Roman" w:hAnsi="Times New Roman" w:cs="Times New Roman"/>
          <w:sz w:val="24"/>
          <w:szCs w:val="24"/>
        </w:rPr>
        <w:t xml:space="preserve">e continued references to the creation of a truth commission for Bosnia were </w:t>
      </w:r>
      <w:r w:rsidR="002139E6">
        <w:rPr>
          <w:rFonts w:ascii="Times New Roman" w:hAnsi="Times New Roman" w:cs="Times New Roman"/>
          <w:sz w:val="24"/>
          <w:szCs w:val="24"/>
        </w:rPr>
        <w:t xml:space="preserve">in part </w:t>
      </w:r>
      <w:r w:rsidR="001D0E5D">
        <w:rPr>
          <w:rFonts w:ascii="Times New Roman" w:hAnsi="Times New Roman" w:cs="Times New Roman"/>
          <w:sz w:val="24"/>
          <w:szCs w:val="24"/>
        </w:rPr>
        <w:t>a reflection of</w:t>
      </w:r>
      <w:r w:rsidR="002139E6">
        <w:rPr>
          <w:rFonts w:ascii="Times New Roman" w:hAnsi="Times New Roman" w:cs="Times New Roman"/>
          <w:sz w:val="24"/>
          <w:szCs w:val="24"/>
        </w:rPr>
        <w:t xml:space="preserve"> broader international trends. </w:t>
      </w:r>
      <w:r w:rsidR="00BD4EB8">
        <w:rPr>
          <w:rFonts w:ascii="Times New Roman" w:hAnsi="Times New Roman" w:cs="Times New Roman"/>
          <w:sz w:val="24"/>
          <w:szCs w:val="24"/>
        </w:rPr>
        <w:t>The remarkable achievements of the South African TRC</w:t>
      </w:r>
      <w:r w:rsidR="00B0295B">
        <w:rPr>
          <w:rFonts w:ascii="Times New Roman" w:hAnsi="Times New Roman" w:cs="Times New Roman"/>
          <w:sz w:val="24"/>
          <w:szCs w:val="24"/>
        </w:rPr>
        <w:t xml:space="preserve"> (</w:t>
      </w:r>
      <w:r w:rsidR="006C2CB1">
        <w:rPr>
          <w:rFonts w:ascii="Times New Roman" w:hAnsi="Times New Roman" w:cs="Times New Roman"/>
          <w:sz w:val="24"/>
          <w:szCs w:val="24"/>
        </w:rPr>
        <w:t>inaugurated in December 1995</w:t>
      </w:r>
      <w:r w:rsidR="00B0295B">
        <w:rPr>
          <w:rFonts w:ascii="Times New Roman" w:hAnsi="Times New Roman" w:cs="Times New Roman"/>
          <w:sz w:val="24"/>
          <w:szCs w:val="24"/>
        </w:rPr>
        <w:t>, coinciding with</w:t>
      </w:r>
      <w:r w:rsidR="006C2CB1">
        <w:rPr>
          <w:rFonts w:ascii="Times New Roman" w:hAnsi="Times New Roman" w:cs="Times New Roman"/>
          <w:sz w:val="24"/>
          <w:szCs w:val="24"/>
        </w:rPr>
        <w:t xml:space="preserve"> the</w:t>
      </w:r>
      <w:r w:rsidR="008C2AD0">
        <w:rPr>
          <w:rFonts w:ascii="Times New Roman" w:hAnsi="Times New Roman" w:cs="Times New Roman"/>
          <w:sz w:val="24"/>
          <w:szCs w:val="24"/>
        </w:rPr>
        <w:t xml:space="preserve"> Dayton</w:t>
      </w:r>
      <w:r w:rsidR="00B0295B">
        <w:rPr>
          <w:rFonts w:ascii="Times New Roman" w:hAnsi="Times New Roman" w:cs="Times New Roman"/>
          <w:sz w:val="24"/>
          <w:szCs w:val="24"/>
        </w:rPr>
        <w:t xml:space="preserve"> Peace Agreement for Bosnia) </w:t>
      </w:r>
      <w:r w:rsidR="008C2AD0">
        <w:rPr>
          <w:rFonts w:ascii="Times New Roman" w:hAnsi="Times New Roman" w:cs="Times New Roman"/>
          <w:sz w:val="24"/>
          <w:szCs w:val="24"/>
        </w:rPr>
        <w:t>breathed</w:t>
      </w:r>
      <w:r w:rsidR="006C2CB1">
        <w:rPr>
          <w:rFonts w:ascii="Times New Roman" w:hAnsi="Times New Roman" w:cs="Times New Roman"/>
          <w:sz w:val="24"/>
          <w:szCs w:val="24"/>
        </w:rPr>
        <w:t xml:space="preserve"> </w:t>
      </w:r>
      <w:r w:rsidR="008C2AD0">
        <w:rPr>
          <w:rFonts w:ascii="Times New Roman" w:hAnsi="Times New Roman" w:cs="Times New Roman"/>
          <w:sz w:val="24"/>
          <w:szCs w:val="24"/>
        </w:rPr>
        <w:t xml:space="preserve">new life into the project for a Bosnian </w:t>
      </w:r>
      <w:r w:rsidR="009D7E5B">
        <w:rPr>
          <w:rFonts w:ascii="Times New Roman" w:hAnsi="Times New Roman" w:cs="Times New Roman"/>
          <w:sz w:val="24"/>
          <w:szCs w:val="24"/>
        </w:rPr>
        <w:t>TRC</w:t>
      </w:r>
      <w:r w:rsidR="00BD4EB8">
        <w:rPr>
          <w:rFonts w:ascii="Times New Roman" w:hAnsi="Times New Roman" w:cs="Times New Roman"/>
          <w:sz w:val="24"/>
          <w:szCs w:val="24"/>
        </w:rPr>
        <w:t>.</w:t>
      </w:r>
      <w:r w:rsidR="00E92EEA">
        <w:rPr>
          <w:rFonts w:ascii="Times New Roman" w:hAnsi="Times New Roman" w:cs="Times New Roman"/>
          <w:sz w:val="24"/>
          <w:szCs w:val="24"/>
        </w:rPr>
        <w:t xml:space="preserve"> </w:t>
      </w:r>
      <w:r w:rsidR="009A6776">
        <w:rPr>
          <w:rFonts w:ascii="Times New Roman" w:hAnsi="Times New Roman" w:cs="Times New Roman"/>
          <w:sz w:val="24"/>
          <w:szCs w:val="24"/>
        </w:rPr>
        <w:t xml:space="preserve">While the South African experience </w:t>
      </w:r>
      <w:r w:rsidR="00ED46E9">
        <w:rPr>
          <w:rFonts w:ascii="Times New Roman" w:hAnsi="Times New Roman" w:cs="Times New Roman"/>
          <w:sz w:val="24"/>
          <w:szCs w:val="24"/>
        </w:rPr>
        <w:t>ha</w:t>
      </w:r>
      <w:r w:rsidR="00BA6941">
        <w:rPr>
          <w:rFonts w:ascii="Times New Roman" w:hAnsi="Times New Roman" w:cs="Times New Roman"/>
          <w:sz w:val="24"/>
          <w:szCs w:val="24"/>
        </w:rPr>
        <w:t xml:space="preserve">s </w:t>
      </w:r>
      <w:r w:rsidR="00ED46E9">
        <w:rPr>
          <w:rFonts w:ascii="Times New Roman" w:hAnsi="Times New Roman" w:cs="Times New Roman"/>
          <w:sz w:val="24"/>
          <w:szCs w:val="24"/>
        </w:rPr>
        <w:t>since been subject to more critical scrutiny</w:t>
      </w:r>
      <w:r w:rsidR="009A6776">
        <w:rPr>
          <w:rFonts w:ascii="Times New Roman" w:hAnsi="Times New Roman" w:cs="Times New Roman"/>
          <w:sz w:val="24"/>
          <w:szCs w:val="24"/>
        </w:rPr>
        <w:t xml:space="preserve">, </w:t>
      </w:r>
      <w:r w:rsidR="00ED46E9">
        <w:rPr>
          <w:rFonts w:ascii="Times New Roman" w:hAnsi="Times New Roman" w:cs="Times New Roman"/>
          <w:sz w:val="24"/>
          <w:szCs w:val="24"/>
        </w:rPr>
        <w:t xml:space="preserve">at the time </w:t>
      </w:r>
      <w:r w:rsidR="009A6776">
        <w:rPr>
          <w:rFonts w:ascii="Times New Roman" w:hAnsi="Times New Roman" w:cs="Times New Roman"/>
          <w:sz w:val="24"/>
          <w:szCs w:val="24"/>
        </w:rPr>
        <w:t>wh</w:t>
      </w:r>
      <w:r w:rsidR="002836FF">
        <w:rPr>
          <w:rFonts w:ascii="Times New Roman" w:hAnsi="Times New Roman" w:cs="Times New Roman"/>
          <w:sz w:val="24"/>
          <w:szCs w:val="24"/>
        </w:rPr>
        <w:t>en the Bosnian truth commission</w:t>
      </w:r>
      <w:r w:rsidR="009A6776">
        <w:rPr>
          <w:rFonts w:ascii="Times New Roman" w:hAnsi="Times New Roman" w:cs="Times New Roman"/>
          <w:sz w:val="24"/>
          <w:szCs w:val="24"/>
        </w:rPr>
        <w:t xml:space="preserve"> idea was revived in the late 1990s</w:t>
      </w:r>
      <w:r w:rsidR="00ED46E9">
        <w:rPr>
          <w:rFonts w:ascii="Times New Roman" w:hAnsi="Times New Roman" w:cs="Times New Roman"/>
          <w:sz w:val="24"/>
          <w:szCs w:val="24"/>
        </w:rPr>
        <w:t>,</w:t>
      </w:r>
      <w:r w:rsidR="009A6776">
        <w:rPr>
          <w:rFonts w:ascii="Times New Roman" w:hAnsi="Times New Roman" w:cs="Times New Roman"/>
          <w:sz w:val="24"/>
          <w:szCs w:val="24"/>
        </w:rPr>
        <w:t xml:space="preserve"> the South African model</w:t>
      </w:r>
      <w:r w:rsidR="000970FC">
        <w:rPr>
          <w:rFonts w:ascii="Times New Roman" w:hAnsi="Times New Roman" w:cs="Times New Roman"/>
          <w:sz w:val="24"/>
          <w:szCs w:val="24"/>
        </w:rPr>
        <w:t>—particularly its innovative practice of public hearings</w:t>
      </w:r>
      <w:r w:rsidR="00A72914">
        <w:rPr>
          <w:rFonts w:ascii="Times New Roman" w:hAnsi="Times New Roman" w:cs="Times New Roman"/>
          <w:sz w:val="24"/>
          <w:szCs w:val="24"/>
        </w:rPr>
        <w:t xml:space="preserve"> </w:t>
      </w:r>
      <w:r w:rsidR="00E92EEA">
        <w:rPr>
          <w:rFonts w:ascii="Times New Roman" w:hAnsi="Times New Roman" w:cs="Times New Roman"/>
          <w:sz w:val="24"/>
          <w:szCs w:val="24"/>
        </w:rPr>
        <w:t>transmitted</w:t>
      </w:r>
      <w:r w:rsidR="00A72914">
        <w:rPr>
          <w:rFonts w:ascii="Times New Roman" w:hAnsi="Times New Roman" w:cs="Times New Roman"/>
          <w:sz w:val="24"/>
          <w:szCs w:val="24"/>
        </w:rPr>
        <w:t xml:space="preserve"> by</w:t>
      </w:r>
      <w:r w:rsidR="001D0E5D">
        <w:rPr>
          <w:rFonts w:ascii="Times New Roman" w:hAnsi="Times New Roman" w:cs="Times New Roman"/>
          <w:sz w:val="24"/>
          <w:szCs w:val="24"/>
        </w:rPr>
        <w:t xml:space="preserve"> extensive media coverage</w:t>
      </w:r>
      <w:r w:rsidR="000970FC">
        <w:rPr>
          <w:rFonts w:ascii="Times New Roman" w:hAnsi="Times New Roman" w:cs="Times New Roman"/>
          <w:sz w:val="24"/>
          <w:szCs w:val="24"/>
        </w:rPr>
        <w:t>—</w:t>
      </w:r>
      <w:r w:rsidR="009A6776">
        <w:rPr>
          <w:rFonts w:ascii="Times New Roman" w:hAnsi="Times New Roman" w:cs="Times New Roman"/>
          <w:sz w:val="24"/>
          <w:szCs w:val="24"/>
        </w:rPr>
        <w:t>was very prominent in the minds of its advocates.</w:t>
      </w:r>
      <w:r w:rsidR="00104FD4">
        <w:rPr>
          <w:rStyle w:val="FootnoteReference"/>
          <w:rFonts w:ascii="Times New Roman" w:hAnsi="Times New Roman" w:cs="Times New Roman"/>
          <w:sz w:val="24"/>
          <w:szCs w:val="24"/>
        </w:rPr>
        <w:footnoteReference w:id="14"/>
      </w:r>
      <w:r w:rsidR="00C73B69">
        <w:rPr>
          <w:rFonts w:ascii="Times New Roman" w:hAnsi="Times New Roman" w:cs="Times New Roman"/>
          <w:sz w:val="24"/>
          <w:szCs w:val="24"/>
        </w:rPr>
        <w:t xml:space="preserve"> Indeed, </w:t>
      </w:r>
      <w:r w:rsidR="009F2390">
        <w:rPr>
          <w:rFonts w:ascii="Times New Roman" w:hAnsi="Times New Roman" w:cs="Times New Roman"/>
          <w:sz w:val="24"/>
          <w:szCs w:val="24"/>
        </w:rPr>
        <w:t>both Alex Boraine, the deputy chair of the South African TRC, and</w:t>
      </w:r>
      <w:r w:rsidR="00C73B69">
        <w:rPr>
          <w:rFonts w:ascii="Times New Roman" w:hAnsi="Times New Roman" w:cs="Times New Roman"/>
          <w:sz w:val="24"/>
          <w:szCs w:val="24"/>
        </w:rPr>
        <w:t xml:space="preserve"> Richard Goldstone, a judge on South Africa’s constitutional court and the first </w:t>
      </w:r>
      <w:r w:rsidR="009D7E5B">
        <w:rPr>
          <w:rFonts w:ascii="Times New Roman" w:hAnsi="Times New Roman" w:cs="Times New Roman"/>
          <w:sz w:val="24"/>
          <w:szCs w:val="24"/>
        </w:rPr>
        <w:t>ICTY prosecutor</w:t>
      </w:r>
      <w:r w:rsidR="00C73B69">
        <w:rPr>
          <w:rFonts w:ascii="Times New Roman" w:hAnsi="Times New Roman" w:cs="Times New Roman"/>
          <w:sz w:val="24"/>
          <w:szCs w:val="24"/>
        </w:rPr>
        <w:t xml:space="preserve">, </w:t>
      </w:r>
      <w:r w:rsidR="006F5709">
        <w:rPr>
          <w:rFonts w:ascii="Times New Roman" w:hAnsi="Times New Roman" w:cs="Times New Roman"/>
          <w:sz w:val="24"/>
          <w:szCs w:val="24"/>
        </w:rPr>
        <w:t>took part</w:t>
      </w:r>
      <w:r w:rsidR="002836FF">
        <w:rPr>
          <w:rFonts w:ascii="Times New Roman" w:hAnsi="Times New Roman" w:cs="Times New Roman"/>
          <w:sz w:val="24"/>
          <w:szCs w:val="24"/>
        </w:rPr>
        <w:t xml:space="preserve"> in the efforts to set up</w:t>
      </w:r>
      <w:r w:rsidR="00C73B69">
        <w:rPr>
          <w:rFonts w:ascii="Times New Roman" w:hAnsi="Times New Roman" w:cs="Times New Roman"/>
          <w:sz w:val="24"/>
          <w:szCs w:val="24"/>
        </w:rPr>
        <w:t xml:space="preserve"> truth commission</w:t>
      </w:r>
      <w:r w:rsidR="002836FF">
        <w:rPr>
          <w:rFonts w:ascii="Times New Roman" w:hAnsi="Times New Roman" w:cs="Times New Roman"/>
          <w:sz w:val="24"/>
          <w:szCs w:val="24"/>
        </w:rPr>
        <w:t xml:space="preserve">s in the </w:t>
      </w:r>
      <w:r w:rsidR="009F2390">
        <w:rPr>
          <w:rFonts w:ascii="Times New Roman" w:hAnsi="Times New Roman" w:cs="Times New Roman"/>
          <w:sz w:val="24"/>
          <w:szCs w:val="24"/>
        </w:rPr>
        <w:t xml:space="preserve">post-Yugoslav </w:t>
      </w:r>
      <w:r w:rsidR="002836FF">
        <w:rPr>
          <w:rFonts w:ascii="Times New Roman" w:hAnsi="Times New Roman" w:cs="Times New Roman"/>
          <w:sz w:val="24"/>
          <w:szCs w:val="24"/>
        </w:rPr>
        <w:t>region</w:t>
      </w:r>
      <w:r w:rsidR="00C73B69">
        <w:rPr>
          <w:rFonts w:ascii="Times New Roman" w:hAnsi="Times New Roman" w:cs="Times New Roman"/>
          <w:sz w:val="24"/>
          <w:szCs w:val="24"/>
        </w:rPr>
        <w:t>.</w:t>
      </w:r>
      <w:r w:rsidR="002836FF">
        <w:rPr>
          <w:rStyle w:val="FootnoteReference"/>
          <w:rFonts w:ascii="Times New Roman" w:hAnsi="Times New Roman" w:cs="Times New Roman"/>
          <w:sz w:val="24"/>
          <w:szCs w:val="24"/>
        </w:rPr>
        <w:footnoteReference w:id="15"/>
      </w:r>
      <w:r w:rsidR="00C73B69">
        <w:rPr>
          <w:rFonts w:ascii="Times New Roman" w:hAnsi="Times New Roman" w:cs="Times New Roman"/>
          <w:sz w:val="24"/>
          <w:szCs w:val="24"/>
        </w:rPr>
        <w:t xml:space="preserve"> </w:t>
      </w:r>
      <w:r w:rsidR="009F2390">
        <w:rPr>
          <w:rFonts w:ascii="Times New Roman" w:hAnsi="Times New Roman" w:cs="Times New Roman"/>
          <w:sz w:val="24"/>
          <w:szCs w:val="24"/>
        </w:rPr>
        <w:t xml:space="preserve">As </w:t>
      </w:r>
      <w:r w:rsidR="00C73B69">
        <w:rPr>
          <w:rFonts w:ascii="Times New Roman" w:hAnsi="Times New Roman" w:cs="Times New Roman"/>
          <w:sz w:val="24"/>
          <w:szCs w:val="24"/>
        </w:rPr>
        <w:t xml:space="preserve">Goldstone </w:t>
      </w:r>
      <w:r w:rsidR="00D60F7A">
        <w:rPr>
          <w:rFonts w:ascii="Times New Roman" w:hAnsi="Times New Roman" w:cs="Times New Roman"/>
          <w:sz w:val="24"/>
          <w:szCs w:val="24"/>
        </w:rPr>
        <w:t xml:space="preserve">argued </w:t>
      </w:r>
      <w:r w:rsidR="00C73B69">
        <w:rPr>
          <w:rFonts w:ascii="Times New Roman" w:hAnsi="Times New Roman" w:cs="Times New Roman"/>
          <w:sz w:val="24"/>
          <w:szCs w:val="24"/>
        </w:rPr>
        <w:t xml:space="preserve">in 1998: </w:t>
      </w:r>
    </w:p>
    <w:p w:rsidR="00BD4EB8" w:rsidRDefault="0007466F" w:rsidP="008C2AD0">
      <w:pPr>
        <w:spacing w:after="0"/>
        <w:ind w:left="720"/>
        <w:rPr>
          <w:rFonts w:ascii="Times New Roman" w:hAnsi="Times New Roman" w:cs="Times New Roman"/>
          <w:sz w:val="24"/>
          <w:szCs w:val="24"/>
        </w:rPr>
      </w:pPr>
      <w:r>
        <w:rPr>
          <w:rFonts w:ascii="Times New Roman" w:hAnsi="Times New Roman" w:cs="Times New Roman"/>
          <w:sz w:val="24"/>
          <w:szCs w:val="24"/>
        </w:rPr>
        <w:t xml:space="preserve">In addition to criminal prosecutions, it is necessary for a damaged society to arrive at a wider understanding of the causes of its suffering. For no matter how well the tribunal does its job, the scope of history is far broader than proving the guilt of a few </w:t>
      </w:r>
      <w:r>
        <w:rPr>
          <w:rFonts w:ascii="Times New Roman" w:hAnsi="Times New Roman" w:cs="Times New Roman"/>
          <w:sz w:val="24"/>
          <w:szCs w:val="24"/>
        </w:rPr>
        <w:lastRenderedPageBreak/>
        <w:t>specific individuals... The tribunal can tell an important part of the story but it is equally important that the people come to their own consensus about their recent history and acknowledge the abuses suffered by all victims.</w:t>
      </w:r>
      <w:r w:rsidR="008C2AD0">
        <w:rPr>
          <w:rStyle w:val="FootnoteReference"/>
          <w:rFonts w:ascii="Times New Roman" w:hAnsi="Times New Roman" w:cs="Times New Roman"/>
          <w:sz w:val="24"/>
          <w:szCs w:val="24"/>
        </w:rPr>
        <w:footnoteReference w:id="16"/>
      </w:r>
    </w:p>
    <w:p w:rsidR="0025175A" w:rsidRDefault="006F5709" w:rsidP="0072717A">
      <w:pPr>
        <w:spacing w:before="240" w:after="0" w:line="360" w:lineRule="auto"/>
        <w:rPr>
          <w:rFonts w:ascii="Times New Roman" w:hAnsi="Times New Roman" w:cs="Times New Roman"/>
          <w:sz w:val="24"/>
          <w:szCs w:val="24"/>
        </w:rPr>
      </w:pPr>
      <w:r>
        <w:rPr>
          <w:rFonts w:ascii="Times New Roman" w:hAnsi="Times New Roman" w:cs="Times New Roman"/>
          <w:sz w:val="24"/>
          <w:szCs w:val="24"/>
        </w:rPr>
        <w:t>Goldstone’s views reflected th</w:t>
      </w:r>
      <w:r w:rsidR="004779DE">
        <w:rPr>
          <w:rFonts w:ascii="Times New Roman" w:hAnsi="Times New Roman" w:cs="Times New Roman"/>
          <w:sz w:val="24"/>
          <w:szCs w:val="24"/>
        </w:rPr>
        <w:t>e</w:t>
      </w:r>
      <w:r>
        <w:rPr>
          <w:rFonts w:ascii="Times New Roman" w:hAnsi="Times New Roman" w:cs="Times New Roman"/>
          <w:sz w:val="24"/>
          <w:szCs w:val="24"/>
        </w:rPr>
        <w:t xml:space="preserve"> evolution in the thinking on transitional justice away from </w:t>
      </w:r>
      <w:r w:rsidR="00955181">
        <w:rPr>
          <w:rFonts w:ascii="Times New Roman" w:hAnsi="Times New Roman" w:cs="Times New Roman"/>
          <w:sz w:val="24"/>
          <w:szCs w:val="24"/>
        </w:rPr>
        <w:t>the initial</w:t>
      </w:r>
      <w:r>
        <w:rPr>
          <w:rFonts w:ascii="Times New Roman" w:hAnsi="Times New Roman" w:cs="Times New Roman"/>
          <w:sz w:val="24"/>
          <w:szCs w:val="24"/>
        </w:rPr>
        <w:t xml:space="preserve"> vision that posited ‘truth’ and ‘justice’ </w:t>
      </w:r>
      <w:r w:rsidR="004779DE">
        <w:rPr>
          <w:rFonts w:ascii="Times New Roman" w:hAnsi="Times New Roman" w:cs="Times New Roman"/>
          <w:sz w:val="24"/>
          <w:szCs w:val="24"/>
        </w:rPr>
        <w:t xml:space="preserve">as alternatives to seeing </w:t>
      </w:r>
      <w:r w:rsidR="00315118">
        <w:rPr>
          <w:rFonts w:ascii="Times New Roman" w:hAnsi="Times New Roman" w:cs="Times New Roman"/>
          <w:sz w:val="24"/>
          <w:szCs w:val="24"/>
        </w:rPr>
        <w:t>them</w:t>
      </w:r>
      <w:r w:rsidR="004779DE">
        <w:rPr>
          <w:rFonts w:ascii="Times New Roman" w:hAnsi="Times New Roman" w:cs="Times New Roman"/>
          <w:sz w:val="24"/>
          <w:szCs w:val="24"/>
        </w:rPr>
        <w:t xml:space="preserve"> as complementary strands of a </w:t>
      </w:r>
      <w:r w:rsidR="00A72914">
        <w:rPr>
          <w:rFonts w:ascii="Times New Roman" w:hAnsi="Times New Roman" w:cs="Times New Roman"/>
          <w:sz w:val="24"/>
          <w:szCs w:val="24"/>
        </w:rPr>
        <w:t>comprehensive</w:t>
      </w:r>
      <w:r w:rsidR="004779DE">
        <w:rPr>
          <w:rFonts w:ascii="Times New Roman" w:hAnsi="Times New Roman" w:cs="Times New Roman"/>
          <w:sz w:val="24"/>
          <w:szCs w:val="24"/>
        </w:rPr>
        <w:t xml:space="preserve"> approach </w:t>
      </w:r>
      <w:r w:rsidR="001D0E5D">
        <w:rPr>
          <w:rFonts w:ascii="Times New Roman" w:hAnsi="Times New Roman" w:cs="Times New Roman"/>
          <w:sz w:val="24"/>
          <w:szCs w:val="24"/>
        </w:rPr>
        <w:t>aimed at</w:t>
      </w:r>
      <w:r w:rsidR="004779DE">
        <w:rPr>
          <w:rFonts w:ascii="Times New Roman" w:hAnsi="Times New Roman" w:cs="Times New Roman"/>
          <w:sz w:val="24"/>
          <w:szCs w:val="24"/>
        </w:rPr>
        <w:t xml:space="preserve"> </w:t>
      </w:r>
      <w:r w:rsidR="001823C6">
        <w:rPr>
          <w:rFonts w:ascii="Times New Roman" w:hAnsi="Times New Roman" w:cs="Times New Roman"/>
          <w:sz w:val="24"/>
          <w:szCs w:val="24"/>
        </w:rPr>
        <w:t xml:space="preserve">achieving </w:t>
      </w:r>
      <w:r w:rsidR="00D60F7A">
        <w:rPr>
          <w:rFonts w:ascii="Times New Roman" w:hAnsi="Times New Roman" w:cs="Times New Roman"/>
          <w:sz w:val="24"/>
          <w:szCs w:val="24"/>
        </w:rPr>
        <w:t xml:space="preserve">both </w:t>
      </w:r>
      <w:r w:rsidR="001823C6">
        <w:rPr>
          <w:rFonts w:ascii="Times New Roman" w:hAnsi="Times New Roman" w:cs="Times New Roman"/>
          <w:sz w:val="24"/>
          <w:szCs w:val="24"/>
        </w:rPr>
        <w:t xml:space="preserve">accountability </w:t>
      </w:r>
      <w:r w:rsidR="001D0E5D">
        <w:rPr>
          <w:rFonts w:ascii="Times New Roman" w:hAnsi="Times New Roman" w:cs="Times New Roman"/>
          <w:sz w:val="24"/>
          <w:szCs w:val="24"/>
        </w:rPr>
        <w:t>and social reconstruction</w:t>
      </w:r>
      <w:r w:rsidR="0025175A">
        <w:rPr>
          <w:rFonts w:ascii="Times New Roman" w:hAnsi="Times New Roman" w:cs="Times New Roman"/>
          <w:sz w:val="24"/>
          <w:szCs w:val="24"/>
        </w:rPr>
        <w:t xml:space="preserve"> in </w:t>
      </w:r>
      <w:r w:rsidR="00E92EEA">
        <w:rPr>
          <w:rFonts w:ascii="Times New Roman" w:hAnsi="Times New Roman" w:cs="Times New Roman"/>
          <w:sz w:val="24"/>
          <w:szCs w:val="24"/>
        </w:rPr>
        <w:t>post-conflict</w:t>
      </w:r>
      <w:r w:rsidR="0025175A">
        <w:rPr>
          <w:rFonts w:ascii="Times New Roman" w:hAnsi="Times New Roman" w:cs="Times New Roman"/>
          <w:sz w:val="24"/>
          <w:szCs w:val="24"/>
        </w:rPr>
        <w:t xml:space="preserve"> societies</w:t>
      </w:r>
      <w:r>
        <w:rPr>
          <w:rFonts w:ascii="Times New Roman" w:hAnsi="Times New Roman" w:cs="Times New Roman"/>
          <w:sz w:val="24"/>
          <w:szCs w:val="24"/>
        </w:rPr>
        <w:t>.</w:t>
      </w:r>
      <w:r w:rsidR="004779DE">
        <w:rPr>
          <w:rStyle w:val="FootnoteReference"/>
          <w:rFonts w:ascii="Times New Roman" w:hAnsi="Times New Roman" w:cs="Times New Roman"/>
          <w:sz w:val="24"/>
          <w:szCs w:val="24"/>
        </w:rPr>
        <w:footnoteReference w:id="17"/>
      </w:r>
      <w:r w:rsidR="00E92EEA" w:rsidRPr="00E92EEA">
        <w:rPr>
          <w:rFonts w:ascii="Times New Roman" w:hAnsi="Times New Roman" w:cs="Times New Roman"/>
          <w:sz w:val="24"/>
          <w:szCs w:val="24"/>
        </w:rPr>
        <w:t xml:space="preserve"> </w:t>
      </w:r>
    </w:p>
    <w:p w:rsidR="00A72914" w:rsidRDefault="002279E8" w:rsidP="00637972">
      <w:pPr>
        <w:spacing w:before="240" w:after="0" w:line="360" w:lineRule="auto"/>
        <w:rPr>
          <w:rFonts w:ascii="Times New Roman" w:hAnsi="Times New Roman"/>
          <w:sz w:val="24"/>
        </w:rPr>
      </w:pPr>
      <w:r>
        <w:rPr>
          <w:rFonts w:ascii="Times New Roman" w:hAnsi="Times New Roman" w:cs="Times New Roman"/>
          <w:sz w:val="24"/>
          <w:szCs w:val="24"/>
        </w:rPr>
        <w:tab/>
      </w:r>
      <w:r w:rsidR="00E45CDA">
        <w:rPr>
          <w:rFonts w:ascii="Times New Roman" w:hAnsi="Times New Roman" w:cs="Times New Roman"/>
          <w:sz w:val="24"/>
          <w:szCs w:val="24"/>
        </w:rPr>
        <w:t xml:space="preserve">The initial task for advocates of a Bosnian </w:t>
      </w:r>
      <w:r>
        <w:rPr>
          <w:rFonts w:ascii="Times New Roman" w:hAnsi="Times New Roman" w:cs="Times New Roman"/>
          <w:sz w:val="24"/>
          <w:szCs w:val="24"/>
        </w:rPr>
        <w:t xml:space="preserve">truth and reconciliation commission </w:t>
      </w:r>
      <w:r w:rsidR="00E45CDA">
        <w:rPr>
          <w:rFonts w:ascii="Times New Roman" w:hAnsi="Times New Roman" w:cs="Times New Roman"/>
          <w:sz w:val="24"/>
          <w:szCs w:val="24"/>
        </w:rPr>
        <w:t xml:space="preserve">was to define the role of such a </w:t>
      </w:r>
      <w:r w:rsidR="00540A57">
        <w:rPr>
          <w:rFonts w:ascii="Times New Roman" w:hAnsi="Times New Roman" w:cs="Times New Roman"/>
          <w:sz w:val="24"/>
          <w:szCs w:val="24"/>
        </w:rPr>
        <w:t>body</w:t>
      </w:r>
      <w:r w:rsidR="00E45CDA">
        <w:rPr>
          <w:rFonts w:ascii="Times New Roman" w:hAnsi="Times New Roman" w:cs="Times New Roman"/>
          <w:sz w:val="24"/>
          <w:szCs w:val="24"/>
        </w:rPr>
        <w:t xml:space="preserve">, </w:t>
      </w:r>
      <w:r w:rsidR="001D0E5D">
        <w:rPr>
          <w:rFonts w:ascii="Times New Roman" w:hAnsi="Times New Roman" w:cs="Times New Roman"/>
          <w:sz w:val="24"/>
          <w:szCs w:val="24"/>
        </w:rPr>
        <w:t xml:space="preserve">while </w:t>
      </w:r>
      <w:r w:rsidR="00E45CDA">
        <w:rPr>
          <w:rFonts w:ascii="Times New Roman" w:hAnsi="Times New Roman" w:cs="Times New Roman"/>
          <w:sz w:val="24"/>
          <w:szCs w:val="24"/>
        </w:rPr>
        <w:t>taking into account the existence of</w:t>
      </w:r>
      <w:r>
        <w:rPr>
          <w:rFonts w:ascii="Times New Roman" w:hAnsi="Times New Roman" w:cs="Times New Roman"/>
          <w:sz w:val="24"/>
          <w:szCs w:val="24"/>
        </w:rPr>
        <w:t xml:space="preserve"> the </w:t>
      </w:r>
      <w:r w:rsidR="00E45CDA">
        <w:rPr>
          <w:rFonts w:ascii="Times New Roman" w:hAnsi="Times New Roman" w:cs="Times New Roman"/>
          <w:sz w:val="24"/>
          <w:szCs w:val="24"/>
        </w:rPr>
        <w:t>ICTY</w:t>
      </w:r>
      <w:r>
        <w:rPr>
          <w:rFonts w:ascii="Times New Roman" w:hAnsi="Times New Roman" w:cs="Times New Roman"/>
          <w:sz w:val="24"/>
          <w:szCs w:val="24"/>
        </w:rPr>
        <w:t>.</w:t>
      </w:r>
      <w:r w:rsidR="00E45CDA">
        <w:rPr>
          <w:rFonts w:ascii="Times New Roman" w:hAnsi="Times New Roman" w:cs="Times New Roman"/>
          <w:sz w:val="24"/>
          <w:szCs w:val="24"/>
        </w:rPr>
        <w:t xml:space="preserve"> </w:t>
      </w:r>
      <w:r w:rsidR="00955181">
        <w:rPr>
          <w:rFonts w:ascii="Times New Roman" w:hAnsi="Times New Roman" w:cs="Times New Roman"/>
          <w:sz w:val="24"/>
          <w:szCs w:val="24"/>
        </w:rPr>
        <w:t xml:space="preserve">What </w:t>
      </w:r>
      <w:r w:rsidR="0004541F">
        <w:rPr>
          <w:rFonts w:ascii="Times New Roman" w:hAnsi="Times New Roman" w:cs="Times New Roman"/>
          <w:sz w:val="24"/>
          <w:szCs w:val="24"/>
        </w:rPr>
        <w:t xml:space="preserve">purpose </w:t>
      </w:r>
      <w:r w:rsidR="00955181">
        <w:rPr>
          <w:rFonts w:ascii="Times New Roman" w:hAnsi="Times New Roman" w:cs="Times New Roman"/>
          <w:sz w:val="24"/>
          <w:szCs w:val="24"/>
        </w:rPr>
        <w:t xml:space="preserve">should </w:t>
      </w:r>
      <w:r w:rsidR="00E45CDA">
        <w:rPr>
          <w:rFonts w:ascii="Times New Roman" w:hAnsi="Times New Roman" w:cs="Times New Roman"/>
          <w:sz w:val="24"/>
          <w:szCs w:val="24"/>
        </w:rPr>
        <w:t>a</w:t>
      </w:r>
      <w:r w:rsidR="001D0E5D">
        <w:rPr>
          <w:rFonts w:ascii="Times New Roman" w:hAnsi="Times New Roman" w:cs="Times New Roman"/>
          <w:sz w:val="24"/>
          <w:szCs w:val="24"/>
        </w:rPr>
        <w:t xml:space="preserve"> national</w:t>
      </w:r>
      <w:r w:rsidR="0004541F">
        <w:rPr>
          <w:rFonts w:ascii="Times New Roman" w:hAnsi="Times New Roman" w:cs="Times New Roman"/>
          <w:sz w:val="24"/>
          <w:szCs w:val="24"/>
        </w:rPr>
        <w:t xml:space="preserve"> truth commission serve </w:t>
      </w:r>
      <w:r w:rsidR="00E45CDA">
        <w:rPr>
          <w:rFonts w:ascii="Times New Roman" w:hAnsi="Times New Roman" w:cs="Times New Roman"/>
          <w:sz w:val="24"/>
          <w:szCs w:val="24"/>
        </w:rPr>
        <w:t>when there was already a</w:t>
      </w:r>
      <w:r w:rsidR="001D0E5D">
        <w:rPr>
          <w:rFonts w:ascii="Times New Roman" w:hAnsi="Times New Roman" w:cs="Times New Roman"/>
          <w:sz w:val="24"/>
          <w:szCs w:val="24"/>
        </w:rPr>
        <w:t>n international</w:t>
      </w:r>
      <w:r w:rsidR="00E45CDA">
        <w:rPr>
          <w:rFonts w:ascii="Times New Roman" w:hAnsi="Times New Roman" w:cs="Times New Roman"/>
          <w:sz w:val="24"/>
          <w:szCs w:val="24"/>
        </w:rPr>
        <w:t xml:space="preserve"> tribunal dealing with the crimes of the 1990s? What could suc</w:t>
      </w:r>
      <w:r w:rsidR="00FC2A30">
        <w:rPr>
          <w:rFonts w:ascii="Times New Roman" w:hAnsi="Times New Roman" w:cs="Times New Roman"/>
          <w:sz w:val="24"/>
          <w:szCs w:val="24"/>
        </w:rPr>
        <w:t>h a body achieve</w:t>
      </w:r>
      <w:r w:rsidR="00A72914">
        <w:rPr>
          <w:rFonts w:ascii="Times New Roman" w:hAnsi="Times New Roman" w:cs="Times New Roman"/>
          <w:sz w:val="24"/>
          <w:szCs w:val="24"/>
        </w:rPr>
        <w:t xml:space="preserve"> in Bosnia</w:t>
      </w:r>
      <w:r w:rsidR="00FC2A30">
        <w:rPr>
          <w:rFonts w:ascii="Times New Roman" w:hAnsi="Times New Roman" w:cs="Times New Roman"/>
          <w:sz w:val="24"/>
          <w:szCs w:val="24"/>
        </w:rPr>
        <w:t xml:space="preserve">? </w:t>
      </w:r>
      <w:r w:rsidR="000E09A6">
        <w:rPr>
          <w:rFonts w:ascii="Times New Roman" w:hAnsi="Times New Roman" w:cs="Times New Roman"/>
          <w:sz w:val="24"/>
          <w:szCs w:val="24"/>
        </w:rPr>
        <w:t xml:space="preserve">The idea of a </w:t>
      </w:r>
      <w:r w:rsidR="00A72914">
        <w:rPr>
          <w:rFonts w:ascii="Times New Roman" w:hAnsi="Times New Roman" w:cs="Times New Roman"/>
          <w:sz w:val="24"/>
          <w:szCs w:val="24"/>
        </w:rPr>
        <w:t xml:space="preserve">Bosnian </w:t>
      </w:r>
      <w:r w:rsidR="000E09A6">
        <w:rPr>
          <w:rFonts w:ascii="Times New Roman" w:hAnsi="Times New Roman" w:cs="Times New Roman"/>
          <w:sz w:val="24"/>
          <w:szCs w:val="24"/>
        </w:rPr>
        <w:t xml:space="preserve">TRC was elaborated above all by Neil Kritz, </w:t>
      </w:r>
      <w:r w:rsidR="00955181">
        <w:rPr>
          <w:rFonts w:ascii="Times New Roman" w:hAnsi="Times New Roman" w:cs="Times New Roman"/>
          <w:sz w:val="24"/>
          <w:szCs w:val="24"/>
        </w:rPr>
        <w:t>the</w:t>
      </w:r>
      <w:r w:rsidR="000E09A6">
        <w:rPr>
          <w:rFonts w:ascii="Times New Roman" w:hAnsi="Times New Roman" w:cs="Times New Roman"/>
          <w:sz w:val="24"/>
          <w:szCs w:val="24"/>
        </w:rPr>
        <w:t xml:space="preserve"> author of a three-volume work on transitional justice and the Director of the Rule of Law Programme at the United States Institute of Peace (USIP). </w:t>
      </w:r>
      <w:r w:rsidR="00A72914">
        <w:rPr>
          <w:rFonts w:ascii="Times New Roman" w:hAnsi="Times New Roman" w:cs="Times New Roman"/>
          <w:sz w:val="24"/>
          <w:szCs w:val="24"/>
        </w:rPr>
        <w:t>In the latter part of the 1990s, t</w:t>
      </w:r>
      <w:r w:rsidR="000E09A6">
        <w:rPr>
          <w:rFonts w:ascii="Times New Roman" w:hAnsi="Times New Roman" w:cs="Times New Roman"/>
          <w:sz w:val="24"/>
          <w:szCs w:val="24"/>
        </w:rPr>
        <w:t>he USIP</w:t>
      </w:r>
      <w:r w:rsidR="00A72914">
        <w:rPr>
          <w:rFonts w:ascii="Times New Roman" w:hAnsi="Times New Roman" w:cs="Times New Roman"/>
          <w:sz w:val="24"/>
          <w:szCs w:val="24"/>
        </w:rPr>
        <w:t xml:space="preserve"> </w:t>
      </w:r>
      <w:r w:rsidR="000E09A6">
        <w:rPr>
          <w:rFonts w:ascii="Times New Roman" w:hAnsi="Times New Roman" w:cs="Times New Roman"/>
          <w:sz w:val="24"/>
          <w:szCs w:val="24"/>
        </w:rPr>
        <w:t>organized a series of meetings with Bosnian political and religious leaders, justice officials and representatives of NGOs</w:t>
      </w:r>
      <w:r w:rsidR="00A72914">
        <w:rPr>
          <w:rFonts w:ascii="Times New Roman" w:hAnsi="Times New Roman" w:cs="Times New Roman"/>
          <w:sz w:val="24"/>
          <w:szCs w:val="24"/>
        </w:rPr>
        <w:t xml:space="preserve"> as part of its ‘Bosnia initiative’</w:t>
      </w:r>
      <w:r w:rsidR="000E09A6">
        <w:rPr>
          <w:rFonts w:ascii="Times New Roman" w:hAnsi="Times New Roman" w:cs="Times New Roman"/>
          <w:sz w:val="24"/>
          <w:szCs w:val="24"/>
        </w:rPr>
        <w:t>.</w:t>
      </w:r>
      <w:r w:rsidR="00224EF0">
        <w:rPr>
          <w:rStyle w:val="FootnoteReference"/>
          <w:rFonts w:ascii="Times New Roman" w:hAnsi="Times New Roman" w:cs="Times New Roman"/>
          <w:sz w:val="24"/>
          <w:szCs w:val="24"/>
        </w:rPr>
        <w:footnoteReference w:id="18"/>
      </w:r>
      <w:r w:rsidR="000E09A6">
        <w:rPr>
          <w:rFonts w:ascii="Times New Roman" w:hAnsi="Times New Roman" w:cs="Times New Roman"/>
          <w:sz w:val="24"/>
          <w:szCs w:val="24"/>
        </w:rPr>
        <w:t xml:space="preserve"> One such meeting, </w:t>
      </w:r>
      <w:r w:rsidR="0004541F">
        <w:rPr>
          <w:rFonts w:ascii="Times New Roman" w:hAnsi="Times New Roman" w:cs="Times New Roman"/>
          <w:sz w:val="24"/>
          <w:szCs w:val="24"/>
        </w:rPr>
        <w:t xml:space="preserve">held </w:t>
      </w:r>
      <w:r w:rsidR="000E09A6">
        <w:rPr>
          <w:rFonts w:ascii="Times New Roman" w:hAnsi="Times New Roman" w:cs="Times New Roman"/>
          <w:sz w:val="24"/>
          <w:szCs w:val="24"/>
        </w:rPr>
        <w:t>in Strasbourg in July 1997, explored the possibility of a truth and reconciliation commission.</w:t>
      </w:r>
      <w:r w:rsidR="000E09A6" w:rsidRPr="00474CD2">
        <w:rPr>
          <w:rStyle w:val="FootnoteReference"/>
          <w:rFonts w:ascii="Times New Roman" w:hAnsi="Times New Roman"/>
          <w:sz w:val="24"/>
        </w:rPr>
        <w:footnoteReference w:id="19"/>
      </w:r>
      <w:r w:rsidR="000E09A6" w:rsidRPr="00474CD2">
        <w:rPr>
          <w:rFonts w:ascii="Times New Roman" w:hAnsi="Times New Roman"/>
          <w:sz w:val="24"/>
        </w:rPr>
        <w:t xml:space="preserve"> Among those who took part, the most enthusiastic support for the initiative came from Jakob Finci, the president of Bosnia’s Jewish Community and executive director of the country’s Open Society Fund</w:t>
      </w:r>
      <w:r w:rsidR="000E09A6">
        <w:rPr>
          <w:rFonts w:ascii="Times New Roman" w:hAnsi="Times New Roman"/>
          <w:sz w:val="24"/>
        </w:rPr>
        <w:t xml:space="preserve">, who later became </w:t>
      </w:r>
      <w:r w:rsidR="000E09A6">
        <w:rPr>
          <w:rFonts w:ascii="Times New Roman" w:hAnsi="Times New Roman" w:cs="Times New Roman"/>
          <w:sz w:val="24"/>
          <w:szCs w:val="24"/>
        </w:rPr>
        <w:t xml:space="preserve">Chairman of the </w:t>
      </w:r>
      <w:r w:rsidR="00F362D5">
        <w:rPr>
          <w:rFonts w:ascii="Times New Roman" w:hAnsi="Times New Roman" w:cs="Times New Roman"/>
          <w:sz w:val="24"/>
          <w:szCs w:val="24"/>
        </w:rPr>
        <w:t>‘</w:t>
      </w:r>
      <w:r w:rsidR="000E09A6">
        <w:rPr>
          <w:rFonts w:ascii="Times New Roman" w:hAnsi="Times New Roman" w:cs="Times New Roman"/>
          <w:sz w:val="24"/>
          <w:szCs w:val="24"/>
        </w:rPr>
        <w:t>National Coordinating Committee for Establishment of a Truth and Reconciliation Commission in Bosnia-Herzegovina</w:t>
      </w:r>
      <w:r w:rsidR="00F362D5">
        <w:rPr>
          <w:rFonts w:ascii="Times New Roman" w:hAnsi="Times New Roman" w:cs="Times New Roman"/>
          <w:sz w:val="24"/>
          <w:szCs w:val="24"/>
        </w:rPr>
        <w:t>’</w:t>
      </w:r>
      <w:r w:rsidR="000E09A6">
        <w:rPr>
          <w:rFonts w:ascii="Times New Roman" w:hAnsi="Times New Roman"/>
          <w:sz w:val="24"/>
        </w:rPr>
        <w:t xml:space="preserve">. </w:t>
      </w:r>
    </w:p>
    <w:p w:rsidR="005D5037" w:rsidRDefault="00540A57" w:rsidP="00A72914">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In 2001, Kritz</w:t>
      </w:r>
      <w:r w:rsidR="000E09A6">
        <w:rPr>
          <w:rFonts w:ascii="Times New Roman" w:hAnsi="Times New Roman" w:cs="Times New Roman"/>
          <w:sz w:val="24"/>
          <w:szCs w:val="24"/>
        </w:rPr>
        <w:t xml:space="preserve"> and</w:t>
      </w:r>
      <w:r w:rsidR="006563F4">
        <w:rPr>
          <w:rFonts w:ascii="Times New Roman" w:hAnsi="Times New Roman" w:cs="Times New Roman"/>
          <w:sz w:val="24"/>
          <w:szCs w:val="24"/>
        </w:rPr>
        <w:t xml:space="preserve"> Finci</w:t>
      </w:r>
      <w:r>
        <w:rPr>
          <w:rFonts w:ascii="Times New Roman" w:hAnsi="Times New Roman" w:cs="Times New Roman"/>
          <w:sz w:val="24"/>
          <w:szCs w:val="24"/>
        </w:rPr>
        <w:t xml:space="preserve"> co-authored an article elaborating their vision</w:t>
      </w:r>
      <w:r w:rsidR="006B0CED">
        <w:rPr>
          <w:rFonts w:ascii="Times New Roman" w:hAnsi="Times New Roman" w:cs="Times New Roman"/>
          <w:sz w:val="24"/>
          <w:szCs w:val="24"/>
        </w:rPr>
        <w:t>, which echoes the broader arguments articulated in transitional justice literature about the contributions of truth commission to processes of peacebuilding and national dialogue about the past</w:t>
      </w:r>
      <w:r>
        <w:rPr>
          <w:rFonts w:ascii="Times New Roman" w:hAnsi="Times New Roman" w:cs="Times New Roman"/>
          <w:sz w:val="24"/>
          <w:szCs w:val="24"/>
        </w:rPr>
        <w:t>.</w:t>
      </w:r>
      <w:r w:rsidR="006B0CED">
        <w:rPr>
          <w:rStyle w:val="FootnoteReference"/>
          <w:rFonts w:ascii="Times New Roman" w:hAnsi="Times New Roman" w:cs="Times New Roman"/>
          <w:sz w:val="24"/>
          <w:szCs w:val="24"/>
        </w:rPr>
        <w:footnoteReference w:id="20"/>
      </w:r>
      <w:r w:rsidR="00637972">
        <w:rPr>
          <w:rFonts w:ascii="Times New Roman" w:hAnsi="Times New Roman" w:cs="Times New Roman"/>
          <w:sz w:val="24"/>
          <w:szCs w:val="24"/>
        </w:rPr>
        <w:t xml:space="preserve"> </w:t>
      </w:r>
      <w:r w:rsidR="000E09A6">
        <w:rPr>
          <w:rFonts w:ascii="Times New Roman" w:hAnsi="Times New Roman" w:cs="Times New Roman"/>
          <w:sz w:val="24"/>
          <w:szCs w:val="24"/>
        </w:rPr>
        <w:t>They argued that t</w:t>
      </w:r>
      <w:r>
        <w:rPr>
          <w:rFonts w:ascii="Times New Roman" w:hAnsi="Times New Roman" w:cs="Times New Roman"/>
          <w:sz w:val="24"/>
          <w:szCs w:val="24"/>
        </w:rPr>
        <w:t xml:space="preserve">ruth commissions were not </w:t>
      </w:r>
      <w:r w:rsidR="009D7E5B">
        <w:rPr>
          <w:rFonts w:ascii="Times New Roman" w:hAnsi="Times New Roman" w:cs="Times New Roman"/>
          <w:sz w:val="24"/>
          <w:szCs w:val="24"/>
        </w:rPr>
        <w:t xml:space="preserve">only </w:t>
      </w:r>
      <w:r>
        <w:rPr>
          <w:rFonts w:ascii="Times New Roman" w:hAnsi="Times New Roman" w:cs="Times New Roman"/>
          <w:sz w:val="24"/>
          <w:szCs w:val="24"/>
        </w:rPr>
        <w:t xml:space="preserve">necessary in situations when human rights abuses were designed to hide the facts </w:t>
      </w:r>
      <w:r w:rsidR="009D7E5B">
        <w:rPr>
          <w:rFonts w:ascii="Times New Roman" w:hAnsi="Times New Roman" w:cs="Times New Roman"/>
          <w:sz w:val="24"/>
          <w:szCs w:val="24"/>
        </w:rPr>
        <w:t>(</w:t>
      </w:r>
      <w:r>
        <w:rPr>
          <w:rFonts w:ascii="Times New Roman" w:hAnsi="Times New Roman" w:cs="Times New Roman"/>
          <w:sz w:val="24"/>
          <w:szCs w:val="24"/>
        </w:rPr>
        <w:t>as in the Latin American cases</w:t>
      </w:r>
      <w:r w:rsidR="009D7E5B">
        <w:rPr>
          <w:rFonts w:ascii="Times New Roman" w:hAnsi="Times New Roman" w:cs="Times New Roman"/>
          <w:sz w:val="24"/>
          <w:szCs w:val="24"/>
        </w:rPr>
        <w:t>)</w:t>
      </w:r>
      <w:r w:rsidR="00A72914">
        <w:rPr>
          <w:rFonts w:ascii="Times New Roman" w:hAnsi="Times New Roman" w:cs="Times New Roman"/>
          <w:sz w:val="24"/>
          <w:szCs w:val="24"/>
        </w:rPr>
        <w:t xml:space="preserve">, but also in cases </w:t>
      </w:r>
      <w:r w:rsidR="00A72914">
        <w:rPr>
          <w:rFonts w:ascii="Times New Roman" w:hAnsi="Times New Roman" w:cs="Times New Roman"/>
          <w:sz w:val="24"/>
          <w:szCs w:val="24"/>
        </w:rPr>
        <w:lastRenderedPageBreak/>
        <w:t xml:space="preserve">where </w:t>
      </w:r>
      <w:r>
        <w:rPr>
          <w:rFonts w:ascii="Times New Roman" w:hAnsi="Times New Roman" w:cs="Times New Roman"/>
          <w:sz w:val="24"/>
          <w:szCs w:val="24"/>
        </w:rPr>
        <w:t>multiple truths existed propagati</w:t>
      </w:r>
      <w:r w:rsidR="00F87DCD">
        <w:rPr>
          <w:rFonts w:ascii="Times New Roman" w:hAnsi="Times New Roman" w:cs="Times New Roman"/>
          <w:sz w:val="24"/>
          <w:szCs w:val="24"/>
        </w:rPr>
        <w:t>ng exclusive versions of history, which cast</w:t>
      </w:r>
      <w:r>
        <w:rPr>
          <w:rFonts w:ascii="Times New Roman" w:hAnsi="Times New Roman" w:cs="Times New Roman"/>
          <w:sz w:val="24"/>
          <w:szCs w:val="24"/>
        </w:rPr>
        <w:t xml:space="preserve"> their own group as the sole victim </w:t>
      </w:r>
      <w:r w:rsidR="00F87DCD">
        <w:rPr>
          <w:rFonts w:ascii="Times New Roman" w:hAnsi="Times New Roman" w:cs="Times New Roman"/>
          <w:sz w:val="24"/>
          <w:szCs w:val="24"/>
        </w:rPr>
        <w:t>and</w:t>
      </w:r>
      <w:r>
        <w:rPr>
          <w:rFonts w:ascii="Times New Roman" w:hAnsi="Times New Roman" w:cs="Times New Roman"/>
          <w:sz w:val="24"/>
          <w:szCs w:val="24"/>
        </w:rPr>
        <w:t xml:space="preserve"> other groups as </w:t>
      </w:r>
      <w:r w:rsidR="005F394C">
        <w:rPr>
          <w:rFonts w:ascii="Times New Roman" w:hAnsi="Times New Roman" w:cs="Times New Roman"/>
          <w:sz w:val="24"/>
          <w:szCs w:val="24"/>
        </w:rPr>
        <w:t xml:space="preserve">collective </w:t>
      </w:r>
      <w:r>
        <w:rPr>
          <w:rFonts w:ascii="Times New Roman" w:hAnsi="Times New Roman" w:cs="Times New Roman"/>
          <w:sz w:val="24"/>
          <w:szCs w:val="24"/>
        </w:rPr>
        <w:t xml:space="preserve">perpetrators. </w:t>
      </w:r>
      <w:r w:rsidR="000E09A6">
        <w:rPr>
          <w:rFonts w:ascii="Times New Roman" w:hAnsi="Times New Roman" w:cs="Times New Roman"/>
          <w:sz w:val="24"/>
          <w:szCs w:val="24"/>
        </w:rPr>
        <w:t>R</w:t>
      </w:r>
      <w:r w:rsidR="00AE66F8">
        <w:rPr>
          <w:rFonts w:ascii="Times New Roman" w:hAnsi="Times New Roman" w:cs="Times New Roman"/>
          <w:sz w:val="24"/>
          <w:szCs w:val="24"/>
        </w:rPr>
        <w:t xml:space="preserve">ecalling the German philosopher Karl Jaspers’ conceptualization of different </w:t>
      </w:r>
      <w:r w:rsidR="009A3052">
        <w:rPr>
          <w:rFonts w:ascii="Times New Roman" w:hAnsi="Times New Roman" w:cs="Times New Roman"/>
          <w:sz w:val="24"/>
          <w:szCs w:val="24"/>
        </w:rPr>
        <w:t>types</w:t>
      </w:r>
      <w:r w:rsidR="00AE66F8">
        <w:rPr>
          <w:rFonts w:ascii="Times New Roman" w:hAnsi="Times New Roman" w:cs="Times New Roman"/>
          <w:sz w:val="24"/>
          <w:szCs w:val="24"/>
        </w:rPr>
        <w:t xml:space="preserve"> of guilt, they also argued that courts such as the ICTY were appropriate for prosecuting individual</w:t>
      </w:r>
      <w:r w:rsidR="001B46A9">
        <w:rPr>
          <w:rFonts w:ascii="Times New Roman" w:hAnsi="Times New Roman" w:cs="Times New Roman"/>
          <w:sz w:val="24"/>
          <w:szCs w:val="24"/>
        </w:rPr>
        <w:t xml:space="preserve">s who were </w:t>
      </w:r>
      <w:r w:rsidR="00AE66F8">
        <w:rPr>
          <w:rFonts w:ascii="Times New Roman" w:hAnsi="Times New Roman" w:cs="Times New Roman"/>
          <w:sz w:val="24"/>
          <w:szCs w:val="24"/>
        </w:rPr>
        <w:t>criminal</w:t>
      </w:r>
      <w:r w:rsidR="001B46A9">
        <w:rPr>
          <w:rFonts w:ascii="Times New Roman" w:hAnsi="Times New Roman" w:cs="Times New Roman"/>
          <w:sz w:val="24"/>
          <w:szCs w:val="24"/>
        </w:rPr>
        <w:t>ly</w:t>
      </w:r>
      <w:r w:rsidR="00AE66F8">
        <w:rPr>
          <w:rFonts w:ascii="Times New Roman" w:hAnsi="Times New Roman" w:cs="Times New Roman"/>
          <w:sz w:val="24"/>
          <w:szCs w:val="24"/>
        </w:rPr>
        <w:t xml:space="preserve"> guilt</w:t>
      </w:r>
      <w:r w:rsidR="001B46A9">
        <w:rPr>
          <w:rFonts w:ascii="Times New Roman" w:hAnsi="Times New Roman" w:cs="Times New Roman"/>
          <w:sz w:val="24"/>
          <w:szCs w:val="24"/>
        </w:rPr>
        <w:t>y,</w:t>
      </w:r>
      <w:r w:rsidR="00AE66F8">
        <w:rPr>
          <w:rFonts w:ascii="Times New Roman" w:hAnsi="Times New Roman" w:cs="Times New Roman"/>
          <w:sz w:val="24"/>
          <w:szCs w:val="24"/>
        </w:rPr>
        <w:t xml:space="preserve"> but that societies that had experienced </w:t>
      </w:r>
      <w:r w:rsidR="005F394C">
        <w:rPr>
          <w:rFonts w:ascii="Times New Roman" w:hAnsi="Times New Roman" w:cs="Times New Roman"/>
          <w:sz w:val="24"/>
          <w:szCs w:val="24"/>
        </w:rPr>
        <w:t xml:space="preserve">mass </w:t>
      </w:r>
      <w:r w:rsidR="00AE66F8">
        <w:rPr>
          <w:rFonts w:ascii="Times New Roman" w:hAnsi="Times New Roman" w:cs="Times New Roman"/>
          <w:sz w:val="24"/>
          <w:szCs w:val="24"/>
        </w:rPr>
        <w:t>atrocities also had to consider collective forms of responsibility that were not criminal but ‘moral’ in nature. For this latter form of responsibility, a truth and reconciliat</w:t>
      </w:r>
      <w:r w:rsidR="009D7E5B">
        <w:rPr>
          <w:rFonts w:ascii="Times New Roman" w:hAnsi="Times New Roman" w:cs="Times New Roman"/>
          <w:sz w:val="24"/>
          <w:szCs w:val="24"/>
        </w:rPr>
        <w:t xml:space="preserve">ion commission was best suited, </w:t>
      </w:r>
      <w:r w:rsidR="000E09A6">
        <w:rPr>
          <w:rFonts w:ascii="Times New Roman" w:hAnsi="Times New Roman" w:cs="Times New Roman"/>
          <w:sz w:val="24"/>
          <w:szCs w:val="24"/>
        </w:rPr>
        <w:t xml:space="preserve">not </w:t>
      </w:r>
      <w:r w:rsidR="00AE66F8">
        <w:rPr>
          <w:rFonts w:ascii="Times New Roman" w:hAnsi="Times New Roman" w:cs="Times New Roman"/>
          <w:sz w:val="24"/>
          <w:szCs w:val="24"/>
        </w:rPr>
        <w:t xml:space="preserve">only to expose the facts of the abuses suffered, but also to examine the broader context in which they occurred and the role played by social and political institutions, </w:t>
      </w:r>
      <w:r w:rsidR="0014131F">
        <w:rPr>
          <w:rFonts w:ascii="Times New Roman" w:hAnsi="Times New Roman" w:cs="Times New Roman"/>
          <w:sz w:val="24"/>
          <w:szCs w:val="24"/>
        </w:rPr>
        <w:t>including</w:t>
      </w:r>
      <w:r w:rsidR="00AE66F8">
        <w:rPr>
          <w:rFonts w:ascii="Times New Roman" w:hAnsi="Times New Roman" w:cs="Times New Roman"/>
          <w:sz w:val="24"/>
          <w:szCs w:val="24"/>
        </w:rPr>
        <w:t xml:space="preserve"> the media, political parties, religious institutions,</w:t>
      </w:r>
      <w:r w:rsidR="0014131F">
        <w:rPr>
          <w:rFonts w:ascii="Times New Roman" w:hAnsi="Times New Roman" w:cs="Times New Roman"/>
          <w:sz w:val="24"/>
          <w:szCs w:val="24"/>
        </w:rPr>
        <w:t xml:space="preserve"> the judiciary, state security and the </w:t>
      </w:r>
      <w:r w:rsidR="00AE66F8">
        <w:rPr>
          <w:rFonts w:ascii="Times New Roman" w:hAnsi="Times New Roman" w:cs="Times New Roman"/>
          <w:sz w:val="24"/>
          <w:szCs w:val="24"/>
        </w:rPr>
        <w:t xml:space="preserve">educational </w:t>
      </w:r>
      <w:r w:rsidR="0014131F">
        <w:rPr>
          <w:rFonts w:ascii="Times New Roman" w:hAnsi="Times New Roman" w:cs="Times New Roman"/>
          <w:sz w:val="24"/>
          <w:szCs w:val="24"/>
        </w:rPr>
        <w:t>system</w:t>
      </w:r>
      <w:r w:rsidR="00AE66F8">
        <w:rPr>
          <w:rFonts w:ascii="Times New Roman" w:hAnsi="Times New Roman" w:cs="Times New Roman"/>
          <w:sz w:val="24"/>
          <w:szCs w:val="24"/>
        </w:rPr>
        <w:t>.</w:t>
      </w:r>
      <w:r w:rsidR="00AE66F8">
        <w:rPr>
          <w:rStyle w:val="FootnoteReference"/>
          <w:rFonts w:ascii="Times New Roman" w:hAnsi="Times New Roman" w:cs="Times New Roman"/>
          <w:sz w:val="24"/>
          <w:szCs w:val="24"/>
        </w:rPr>
        <w:footnoteReference w:id="21"/>
      </w:r>
      <w:r w:rsidR="00AE66F8">
        <w:rPr>
          <w:rFonts w:ascii="Times New Roman" w:hAnsi="Times New Roman" w:cs="Times New Roman"/>
          <w:sz w:val="24"/>
          <w:szCs w:val="24"/>
        </w:rPr>
        <w:t xml:space="preserve"> </w:t>
      </w:r>
      <w:r w:rsidR="000E09A6">
        <w:rPr>
          <w:rFonts w:ascii="Times New Roman" w:hAnsi="Times New Roman" w:cs="Times New Roman"/>
          <w:sz w:val="24"/>
          <w:szCs w:val="24"/>
        </w:rPr>
        <w:t xml:space="preserve">Furthermore, </w:t>
      </w:r>
      <w:r w:rsidR="009C6E5B">
        <w:rPr>
          <w:rFonts w:ascii="Times New Roman" w:hAnsi="Times New Roman" w:cs="Times New Roman"/>
          <w:sz w:val="24"/>
          <w:szCs w:val="24"/>
        </w:rPr>
        <w:t xml:space="preserve">because trials were </w:t>
      </w:r>
      <w:r w:rsidR="000E09A6">
        <w:rPr>
          <w:rFonts w:ascii="Times New Roman" w:hAnsi="Times New Roman" w:cs="Times New Roman"/>
          <w:sz w:val="24"/>
          <w:szCs w:val="24"/>
        </w:rPr>
        <w:t>long and narrowly focused</w:t>
      </w:r>
      <w:r w:rsidR="009C6E5B">
        <w:rPr>
          <w:rFonts w:ascii="Times New Roman" w:hAnsi="Times New Roman" w:cs="Times New Roman"/>
          <w:sz w:val="24"/>
          <w:szCs w:val="24"/>
        </w:rPr>
        <w:t xml:space="preserve"> </w:t>
      </w:r>
      <w:r w:rsidR="005D5037">
        <w:rPr>
          <w:rFonts w:ascii="Times New Roman" w:hAnsi="Times New Roman" w:cs="Times New Roman"/>
          <w:sz w:val="24"/>
          <w:szCs w:val="24"/>
        </w:rPr>
        <w:t>(</w:t>
      </w:r>
      <w:r w:rsidR="009C6E5B">
        <w:rPr>
          <w:rFonts w:ascii="Times New Roman" w:hAnsi="Times New Roman" w:cs="Times New Roman"/>
          <w:sz w:val="24"/>
          <w:szCs w:val="24"/>
        </w:rPr>
        <w:t xml:space="preserve">enabling only a </w:t>
      </w:r>
      <w:r w:rsidR="005D5037">
        <w:rPr>
          <w:rFonts w:ascii="Times New Roman" w:hAnsi="Times New Roman" w:cs="Times New Roman"/>
          <w:sz w:val="24"/>
          <w:szCs w:val="24"/>
        </w:rPr>
        <w:t>small number of</w:t>
      </w:r>
      <w:r w:rsidR="009C6E5B">
        <w:rPr>
          <w:rFonts w:ascii="Times New Roman" w:hAnsi="Times New Roman" w:cs="Times New Roman"/>
          <w:sz w:val="24"/>
          <w:szCs w:val="24"/>
        </w:rPr>
        <w:t xml:space="preserve"> victims to testify </w:t>
      </w:r>
      <w:r w:rsidR="005D5037">
        <w:rPr>
          <w:rFonts w:ascii="Times New Roman" w:hAnsi="Times New Roman" w:cs="Times New Roman"/>
          <w:sz w:val="24"/>
          <w:szCs w:val="24"/>
        </w:rPr>
        <w:t>for the purpose of proving the guilt of a defendant)</w:t>
      </w:r>
      <w:r w:rsidR="009C6E5B">
        <w:rPr>
          <w:rFonts w:ascii="Times New Roman" w:hAnsi="Times New Roman" w:cs="Times New Roman"/>
          <w:sz w:val="24"/>
          <w:szCs w:val="24"/>
        </w:rPr>
        <w:t xml:space="preserve">, a truth commission was </w:t>
      </w:r>
      <w:r w:rsidR="005D5037">
        <w:rPr>
          <w:rFonts w:ascii="Times New Roman" w:hAnsi="Times New Roman" w:cs="Times New Roman"/>
          <w:sz w:val="24"/>
          <w:szCs w:val="24"/>
        </w:rPr>
        <w:t>a much better</w:t>
      </w:r>
      <w:r w:rsidR="009C6E5B">
        <w:rPr>
          <w:rFonts w:ascii="Times New Roman" w:hAnsi="Times New Roman" w:cs="Times New Roman"/>
          <w:sz w:val="24"/>
          <w:szCs w:val="24"/>
        </w:rPr>
        <w:t xml:space="preserve"> </w:t>
      </w:r>
      <w:r w:rsidR="0014131F">
        <w:rPr>
          <w:rFonts w:ascii="Times New Roman" w:hAnsi="Times New Roman" w:cs="Times New Roman"/>
          <w:sz w:val="24"/>
          <w:szCs w:val="24"/>
        </w:rPr>
        <w:t>platform</w:t>
      </w:r>
      <w:r w:rsidR="009C6E5B">
        <w:rPr>
          <w:rFonts w:ascii="Times New Roman" w:hAnsi="Times New Roman" w:cs="Times New Roman"/>
          <w:sz w:val="24"/>
          <w:szCs w:val="24"/>
        </w:rPr>
        <w:t xml:space="preserve"> for </w:t>
      </w:r>
      <w:r w:rsidR="00A72914">
        <w:rPr>
          <w:rFonts w:ascii="Times New Roman" w:hAnsi="Times New Roman" w:cs="Times New Roman"/>
          <w:sz w:val="24"/>
          <w:szCs w:val="24"/>
        </w:rPr>
        <w:t xml:space="preserve">both </w:t>
      </w:r>
      <w:r w:rsidR="009C6E5B">
        <w:rPr>
          <w:rFonts w:ascii="Times New Roman" w:hAnsi="Times New Roman" w:cs="Times New Roman"/>
          <w:sz w:val="24"/>
          <w:szCs w:val="24"/>
        </w:rPr>
        <w:t>victims</w:t>
      </w:r>
      <w:r w:rsidR="00DF0F0D">
        <w:rPr>
          <w:rFonts w:ascii="Times New Roman" w:hAnsi="Times New Roman" w:cs="Times New Roman"/>
          <w:sz w:val="24"/>
          <w:szCs w:val="24"/>
        </w:rPr>
        <w:t xml:space="preserve"> and perpetrators</w:t>
      </w:r>
      <w:r w:rsidR="009C6E5B">
        <w:rPr>
          <w:rFonts w:ascii="Times New Roman" w:hAnsi="Times New Roman" w:cs="Times New Roman"/>
          <w:sz w:val="24"/>
          <w:szCs w:val="24"/>
        </w:rPr>
        <w:t xml:space="preserve"> to tell their stor</w:t>
      </w:r>
      <w:r w:rsidR="00DF0F0D">
        <w:rPr>
          <w:rFonts w:ascii="Times New Roman" w:hAnsi="Times New Roman" w:cs="Times New Roman"/>
          <w:sz w:val="24"/>
          <w:szCs w:val="24"/>
        </w:rPr>
        <w:t xml:space="preserve">ies </w:t>
      </w:r>
      <w:r w:rsidR="009C6E5B">
        <w:rPr>
          <w:rFonts w:ascii="Times New Roman" w:hAnsi="Times New Roman" w:cs="Times New Roman"/>
          <w:sz w:val="24"/>
          <w:szCs w:val="24"/>
        </w:rPr>
        <w:t>and preserve their experience</w:t>
      </w:r>
      <w:r w:rsidR="00DF0F0D">
        <w:rPr>
          <w:rFonts w:ascii="Times New Roman" w:hAnsi="Times New Roman" w:cs="Times New Roman"/>
          <w:sz w:val="24"/>
          <w:szCs w:val="24"/>
        </w:rPr>
        <w:t>s</w:t>
      </w:r>
      <w:r w:rsidR="009C6E5B">
        <w:rPr>
          <w:rFonts w:ascii="Times New Roman" w:hAnsi="Times New Roman" w:cs="Times New Roman"/>
          <w:sz w:val="24"/>
          <w:szCs w:val="24"/>
        </w:rPr>
        <w:t xml:space="preserve"> as part of a </w:t>
      </w:r>
      <w:r w:rsidR="00765669">
        <w:rPr>
          <w:rFonts w:ascii="Times New Roman" w:hAnsi="Times New Roman" w:cs="Times New Roman"/>
          <w:sz w:val="24"/>
          <w:szCs w:val="24"/>
        </w:rPr>
        <w:t>definitive</w:t>
      </w:r>
      <w:r w:rsidR="001B46A9">
        <w:rPr>
          <w:rFonts w:ascii="Times New Roman" w:hAnsi="Times New Roman" w:cs="Times New Roman"/>
          <w:sz w:val="24"/>
          <w:szCs w:val="24"/>
        </w:rPr>
        <w:t xml:space="preserve"> </w:t>
      </w:r>
      <w:r w:rsidR="009C6E5B">
        <w:rPr>
          <w:rFonts w:ascii="Times New Roman" w:hAnsi="Times New Roman" w:cs="Times New Roman"/>
          <w:sz w:val="24"/>
          <w:szCs w:val="24"/>
        </w:rPr>
        <w:t>‘publicly acknowledged history</w:t>
      </w:r>
      <w:r w:rsidR="009D7E5B">
        <w:rPr>
          <w:rFonts w:ascii="Times New Roman" w:hAnsi="Times New Roman" w:cs="Times New Roman"/>
          <w:sz w:val="24"/>
          <w:szCs w:val="24"/>
        </w:rPr>
        <w:t>’</w:t>
      </w:r>
      <w:r w:rsidR="009C6E5B">
        <w:rPr>
          <w:rFonts w:ascii="Times New Roman" w:hAnsi="Times New Roman" w:cs="Times New Roman"/>
          <w:sz w:val="24"/>
          <w:szCs w:val="24"/>
        </w:rPr>
        <w:t xml:space="preserve"> of </w:t>
      </w:r>
      <w:r w:rsidR="009D7E5B">
        <w:rPr>
          <w:rFonts w:ascii="Times New Roman" w:hAnsi="Times New Roman" w:cs="Times New Roman"/>
          <w:sz w:val="24"/>
          <w:szCs w:val="24"/>
        </w:rPr>
        <w:t>the country</w:t>
      </w:r>
      <w:r w:rsidR="009C6E5B">
        <w:rPr>
          <w:rFonts w:ascii="Times New Roman" w:hAnsi="Times New Roman" w:cs="Times New Roman"/>
          <w:sz w:val="24"/>
          <w:szCs w:val="24"/>
        </w:rPr>
        <w:t>.</w:t>
      </w:r>
      <w:r w:rsidR="009C6E5B">
        <w:rPr>
          <w:rStyle w:val="FootnoteReference"/>
          <w:rFonts w:ascii="Times New Roman" w:hAnsi="Times New Roman" w:cs="Times New Roman"/>
          <w:sz w:val="24"/>
          <w:szCs w:val="24"/>
        </w:rPr>
        <w:footnoteReference w:id="22"/>
      </w:r>
    </w:p>
    <w:p w:rsidR="003B1621" w:rsidRDefault="009A3052" w:rsidP="0072717A">
      <w:pPr>
        <w:spacing w:before="240" w:after="0" w:line="360" w:lineRule="auto"/>
        <w:rPr>
          <w:rFonts w:ascii="Times New Roman" w:hAnsi="Times New Roman" w:cs="Times New Roman"/>
          <w:sz w:val="24"/>
          <w:szCs w:val="24"/>
        </w:rPr>
      </w:pPr>
      <w:r>
        <w:rPr>
          <w:rFonts w:ascii="Times New Roman" w:hAnsi="Times New Roman" w:cs="Times New Roman"/>
          <w:sz w:val="24"/>
          <w:szCs w:val="24"/>
        </w:rPr>
        <w:tab/>
      </w:r>
      <w:r w:rsidR="006B0CED">
        <w:rPr>
          <w:rFonts w:ascii="Times New Roman" w:hAnsi="Times New Roman" w:cs="Times New Roman"/>
          <w:sz w:val="24"/>
          <w:szCs w:val="24"/>
        </w:rPr>
        <w:t xml:space="preserve">This last point was particularly important, signalling that </w:t>
      </w:r>
      <w:r w:rsidR="003F1E24">
        <w:rPr>
          <w:rFonts w:ascii="Times New Roman" w:hAnsi="Times New Roman" w:cs="Times New Roman"/>
          <w:sz w:val="24"/>
          <w:szCs w:val="24"/>
        </w:rPr>
        <w:t xml:space="preserve">the </w:t>
      </w:r>
      <w:r w:rsidR="006B0CED">
        <w:rPr>
          <w:rFonts w:ascii="Times New Roman" w:hAnsi="Times New Roman" w:cs="Times New Roman"/>
          <w:sz w:val="24"/>
          <w:szCs w:val="24"/>
        </w:rPr>
        <w:t xml:space="preserve">Bosnian </w:t>
      </w:r>
      <w:r w:rsidR="001B46A9">
        <w:rPr>
          <w:rFonts w:ascii="Times New Roman" w:hAnsi="Times New Roman" w:cs="Times New Roman"/>
          <w:sz w:val="24"/>
          <w:szCs w:val="24"/>
        </w:rPr>
        <w:t>TRC</w:t>
      </w:r>
      <w:r w:rsidR="006B0CED">
        <w:rPr>
          <w:rFonts w:ascii="Times New Roman" w:hAnsi="Times New Roman" w:cs="Times New Roman"/>
          <w:sz w:val="24"/>
          <w:szCs w:val="24"/>
        </w:rPr>
        <w:t xml:space="preserve"> would be charged with producing</w:t>
      </w:r>
      <w:r w:rsidR="00AD50C1">
        <w:rPr>
          <w:rFonts w:ascii="Times New Roman" w:hAnsi="Times New Roman" w:cs="Times New Roman"/>
          <w:sz w:val="24"/>
          <w:szCs w:val="24"/>
        </w:rPr>
        <w:t xml:space="preserve"> </w:t>
      </w:r>
      <w:r w:rsidR="006B0CED">
        <w:rPr>
          <w:rFonts w:ascii="Times New Roman" w:hAnsi="Times New Roman" w:cs="Times New Roman"/>
          <w:sz w:val="24"/>
          <w:szCs w:val="24"/>
        </w:rPr>
        <w:t>an authoritative historical narrative</w:t>
      </w:r>
      <w:r w:rsidR="003F1E24">
        <w:rPr>
          <w:rFonts w:ascii="Times New Roman" w:hAnsi="Times New Roman" w:cs="Times New Roman"/>
          <w:sz w:val="24"/>
          <w:szCs w:val="24"/>
        </w:rPr>
        <w:t xml:space="preserve"> that would support nation-building in the fragile and divided </w:t>
      </w:r>
      <w:r w:rsidR="006B0CED">
        <w:rPr>
          <w:rFonts w:ascii="Times New Roman" w:hAnsi="Times New Roman" w:cs="Times New Roman"/>
          <w:sz w:val="24"/>
          <w:szCs w:val="24"/>
        </w:rPr>
        <w:t>country</w:t>
      </w:r>
      <w:r w:rsidR="00AD50C1">
        <w:rPr>
          <w:rFonts w:ascii="Times New Roman" w:hAnsi="Times New Roman" w:cs="Times New Roman"/>
          <w:sz w:val="24"/>
          <w:szCs w:val="24"/>
        </w:rPr>
        <w:t xml:space="preserve">. </w:t>
      </w:r>
      <w:r w:rsidR="00104FD4">
        <w:rPr>
          <w:rFonts w:ascii="Times New Roman" w:hAnsi="Times New Roman" w:cs="Times New Roman"/>
          <w:sz w:val="24"/>
          <w:szCs w:val="24"/>
        </w:rPr>
        <w:t>The commission’s</w:t>
      </w:r>
      <w:r w:rsidR="003F1E24">
        <w:rPr>
          <w:rFonts w:ascii="Times New Roman" w:hAnsi="Times New Roman" w:cs="Times New Roman"/>
          <w:sz w:val="24"/>
          <w:szCs w:val="24"/>
        </w:rPr>
        <w:t xml:space="preserve"> advocates argued</w:t>
      </w:r>
      <w:r w:rsidR="000A17D6">
        <w:rPr>
          <w:rFonts w:ascii="Times New Roman" w:hAnsi="Times New Roman" w:cs="Times New Roman"/>
          <w:sz w:val="24"/>
          <w:szCs w:val="24"/>
        </w:rPr>
        <w:t xml:space="preserve"> that</w:t>
      </w:r>
      <w:r w:rsidR="002A799F">
        <w:rPr>
          <w:rFonts w:ascii="Times New Roman" w:hAnsi="Times New Roman" w:cs="Times New Roman"/>
          <w:sz w:val="24"/>
          <w:szCs w:val="24"/>
        </w:rPr>
        <w:t xml:space="preserve"> a </w:t>
      </w:r>
      <w:r w:rsidR="00946898">
        <w:rPr>
          <w:rFonts w:ascii="Times New Roman" w:hAnsi="Times New Roman" w:cs="Times New Roman"/>
          <w:sz w:val="24"/>
          <w:szCs w:val="24"/>
        </w:rPr>
        <w:t xml:space="preserve">future </w:t>
      </w:r>
      <w:r w:rsidR="003F1E24">
        <w:rPr>
          <w:rFonts w:ascii="Times New Roman" w:hAnsi="Times New Roman" w:cs="Times New Roman"/>
          <w:sz w:val="24"/>
          <w:szCs w:val="24"/>
        </w:rPr>
        <w:t>conflict</w:t>
      </w:r>
      <w:r w:rsidR="002A799F">
        <w:rPr>
          <w:rFonts w:ascii="Times New Roman" w:hAnsi="Times New Roman" w:cs="Times New Roman"/>
          <w:sz w:val="24"/>
          <w:szCs w:val="24"/>
        </w:rPr>
        <w:t xml:space="preserve"> could only be avoided</w:t>
      </w:r>
      <w:r w:rsidR="000A17D6">
        <w:rPr>
          <w:rFonts w:ascii="Times New Roman" w:hAnsi="Times New Roman" w:cs="Times New Roman"/>
          <w:sz w:val="24"/>
          <w:szCs w:val="24"/>
        </w:rPr>
        <w:t xml:space="preserve"> if a truthful</w:t>
      </w:r>
      <w:r w:rsidR="002A799F">
        <w:rPr>
          <w:rFonts w:ascii="Times New Roman" w:hAnsi="Times New Roman" w:cs="Times New Roman"/>
          <w:sz w:val="24"/>
          <w:szCs w:val="24"/>
        </w:rPr>
        <w:t xml:space="preserve"> and all-encompassing</w:t>
      </w:r>
      <w:r w:rsidR="000A17D6">
        <w:rPr>
          <w:rFonts w:ascii="Times New Roman" w:hAnsi="Times New Roman" w:cs="Times New Roman"/>
          <w:sz w:val="24"/>
          <w:szCs w:val="24"/>
        </w:rPr>
        <w:t xml:space="preserve"> </w:t>
      </w:r>
      <w:r w:rsidR="002A799F">
        <w:rPr>
          <w:rFonts w:ascii="Times New Roman" w:hAnsi="Times New Roman" w:cs="Times New Roman"/>
          <w:sz w:val="24"/>
          <w:szCs w:val="24"/>
        </w:rPr>
        <w:t xml:space="preserve">historical </w:t>
      </w:r>
      <w:r w:rsidR="000A17D6">
        <w:rPr>
          <w:rFonts w:ascii="Times New Roman" w:hAnsi="Times New Roman" w:cs="Times New Roman"/>
          <w:sz w:val="24"/>
          <w:szCs w:val="24"/>
        </w:rPr>
        <w:t xml:space="preserve">account of </w:t>
      </w:r>
      <w:r w:rsidR="009D7E5B">
        <w:rPr>
          <w:rFonts w:ascii="Times New Roman" w:hAnsi="Times New Roman" w:cs="Times New Roman"/>
          <w:sz w:val="24"/>
          <w:szCs w:val="24"/>
        </w:rPr>
        <w:t xml:space="preserve">the </w:t>
      </w:r>
      <w:r w:rsidR="002A799F">
        <w:rPr>
          <w:rFonts w:ascii="Times New Roman" w:hAnsi="Times New Roman" w:cs="Times New Roman"/>
          <w:sz w:val="24"/>
          <w:szCs w:val="24"/>
        </w:rPr>
        <w:t xml:space="preserve">victimhood and suffering of </w:t>
      </w:r>
      <w:r w:rsidR="002A799F" w:rsidRPr="008640E0">
        <w:rPr>
          <w:rFonts w:ascii="Times New Roman" w:hAnsi="Times New Roman" w:cs="Times New Roman"/>
          <w:sz w:val="24"/>
          <w:szCs w:val="24"/>
          <w:u w:val="single"/>
        </w:rPr>
        <w:t>all</w:t>
      </w:r>
      <w:r w:rsidR="002A799F">
        <w:rPr>
          <w:rFonts w:ascii="Times New Roman" w:hAnsi="Times New Roman" w:cs="Times New Roman"/>
          <w:sz w:val="24"/>
          <w:szCs w:val="24"/>
        </w:rPr>
        <w:t xml:space="preserve"> </w:t>
      </w:r>
      <w:r w:rsidR="0014131F">
        <w:rPr>
          <w:rFonts w:ascii="Times New Roman" w:hAnsi="Times New Roman" w:cs="Times New Roman"/>
          <w:sz w:val="24"/>
          <w:szCs w:val="24"/>
        </w:rPr>
        <w:t xml:space="preserve">Bosnian citizens </w:t>
      </w:r>
      <w:r w:rsidR="002A799F">
        <w:rPr>
          <w:rFonts w:ascii="Times New Roman" w:hAnsi="Times New Roman" w:cs="Times New Roman"/>
          <w:sz w:val="24"/>
          <w:szCs w:val="24"/>
        </w:rPr>
        <w:t xml:space="preserve">during the </w:t>
      </w:r>
      <w:r w:rsidR="009D7E5B">
        <w:rPr>
          <w:rFonts w:ascii="Times New Roman" w:hAnsi="Times New Roman" w:cs="Times New Roman"/>
          <w:sz w:val="24"/>
          <w:szCs w:val="24"/>
        </w:rPr>
        <w:t xml:space="preserve">1990s </w:t>
      </w:r>
      <w:r w:rsidR="002A799F" w:rsidRPr="002A799F">
        <w:rPr>
          <w:rFonts w:ascii="Times New Roman" w:hAnsi="Times New Roman" w:cs="Times New Roman"/>
          <w:sz w:val="24"/>
          <w:szCs w:val="24"/>
        </w:rPr>
        <w:t>w</w:t>
      </w:r>
      <w:r w:rsidR="00157798">
        <w:rPr>
          <w:rFonts w:ascii="Times New Roman" w:hAnsi="Times New Roman" w:cs="Times New Roman"/>
          <w:sz w:val="24"/>
          <w:szCs w:val="24"/>
        </w:rPr>
        <w:t>as</w:t>
      </w:r>
      <w:r w:rsidR="002A799F" w:rsidRPr="002A799F">
        <w:rPr>
          <w:rFonts w:ascii="Times New Roman" w:hAnsi="Times New Roman" w:cs="Times New Roman"/>
          <w:sz w:val="24"/>
          <w:szCs w:val="24"/>
        </w:rPr>
        <w:t xml:space="preserve"> </w:t>
      </w:r>
      <w:r w:rsidR="00C81343">
        <w:rPr>
          <w:rFonts w:ascii="Times New Roman" w:hAnsi="Times New Roman" w:cs="Times New Roman"/>
          <w:sz w:val="24"/>
          <w:szCs w:val="24"/>
        </w:rPr>
        <w:t>tackled</w:t>
      </w:r>
      <w:r w:rsidR="002A799F">
        <w:rPr>
          <w:rFonts w:ascii="Times New Roman" w:hAnsi="Times New Roman" w:cs="Times New Roman"/>
          <w:sz w:val="24"/>
          <w:szCs w:val="24"/>
        </w:rPr>
        <w:t xml:space="preserve"> </w:t>
      </w:r>
      <w:r w:rsidR="008D7316">
        <w:rPr>
          <w:rFonts w:ascii="Times New Roman" w:hAnsi="Times New Roman" w:cs="Times New Roman"/>
          <w:sz w:val="24"/>
          <w:szCs w:val="24"/>
        </w:rPr>
        <w:t>at the</w:t>
      </w:r>
      <w:r w:rsidR="002A799F">
        <w:rPr>
          <w:rFonts w:ascii="Times New Roman" w:hAnsi="Times New Roman" w:cs="Times New Roman"/>
          <w:sz w:val="24"/>
          <w:szCs w:val="24"/>
        </w:rPr>
        <w:t xml:space="preserve"> national leve</w:t>
      </w:r>
      <w:r w:rsidR="003F1E24">
        <w:rPr>
          <w:rFonts w:ascii="Times New Roman" w:hAnsi="Times New Roman" w:cs="Times New Roman"/>
          <w:sz w:val="24"/>
          <w:szCs w:val="24"/>
        </w:rPr>
        <w:t>l and believed t</w:t>
      </w:r>
      <w:r w:rsidR="00F97080">
        <w:rPr>
          <w:rFonts w:ascii="Times New Roman" w:hAnsi="Times New Roman" w:cs="Times New Roman"/>
          <w:sz w:val="24"/>
          <w:szCs w:val="24"/>
        </w:rPr>
        <w:t>hat public hearings</w:t>
      </w:r>
      <w:r w:rsidR="002A799F">
        <w:rPr>
          <w:rFonts w:ascii="Times New Roman" w:hAnsi="Times New Roman" w:cs="Times New Roman"/>
          <w:sz w:val="24"/>
          <w:szCs w:val="24"/>
        </w:rPr>
        <w:t xml:space="preserve"> of</w:t>
      </w:r>
      <w:r w:rsidR="000A17D6">
        <w:rPr>
          <w:rFonts w:ascii="Times New Roman" w:hAnsi="Times New Roman" w:cs="Times New Roman"/>
          <w:sz w:val="24"/>
          <w:szCs w:val="24"/>
        </w:rPr>
        <w:t xml:space="preserve"> people’s experiences </w:t>
      </w:r>
      <w:r w:rsidR="00BB629C">
        <w:rPr>
          <w:rFonts w:ascii="Times New Roman" w:hAnsi="Times New Roman" w:cs="Times New Roman"/>
          <w:sz w:val="24"/>
          <w:szCs w:val="24"/>
        </w:rPr>
        <w:t xml:space="preserve">would </w:t>
      </w:r>
      <w:r w:rsidR="002C28B5">
        <w:rPr>
          <w:rFonts w:ascii="Times New Roman" w:hAnsi="Times New Roman" w:cs="Times New Roman"/>
          <w:sz w:val="24"/>
          <w:szCs w:val="24"/>
        </w:rPr>
        <w:t>counter for</w:t>
      </w:r>
      <w:r w:rsidR="003F1E24">
        <w:rPr>
          <w:rFonts w:ascii="Times New Roman" w:hAnsi="Times New Roman" w:cs="Times New Roman"/>
          <w:sz w:val="24"/>
          <w:szCs w:val="24"/>
        </w:rPr>
        <w:t>getting</w:t>
      </w:r>
      <w:r w:rsidR="00281C5C">
        <w:rPr>
          <w:rFonts w:ascii="Times New Roman" w:hAnsi="Times New Roman" w:cs="Times New Roman"/>
          <w:sz w:val="24"/>
          <w:szCs w:val="24"/>
        </w:rPr>
        <w:t>.</w:t>
      </w:r>
      <w:r w:rsidR="00B93059">
        <w:rPr>
          <w:rStyle w:val="FootnoteReference"/>
          <w:rFonts w:ascii="Times New Roman" w:hAnsi="Times New Roman" w:cs="Times New Roman"/>
          <w:sz w:val="24"/>
          <w:szCs w:val="24"/>
        </w:rPr>
        <w:footnoteReference w:id="23"/>
      </w:r>
      <w:r w:rsidR="00281C5C">
        <w:rPr>
          <w:rFonts w:ascii="Times New Roman" w:hAnsi="Times New Roman" w:cs="Times New Roman"/>
          <w:sz w:val="24"/>
          <w:szCs w:val="24"/>
        </w:rPr>
        <w:t xml:space="preserve"> </w:t>
      </w:r>
      <w:r w:rsidR="00A72A84">
        <w:rPr>
          <w:rFonts w:ascii="Times New Roman" w:hAnsi="Times New Roman" w:cs="Times New Roman"/>
          <w:sz w:val="24"/>
          <w:szCs w:val="24"/>
        </w:rPr>
        <w:t xml:space="preserve">They also emphasized that </w:t>
      </w:r>
      <w:r w:rsidR="002A799F">
        <w:rPr>
          <w:rFonts w:ascii="Times New Roman" w:hAnsi="Times New Roman" w:cs="Times New Roman"/>
          <w:sz w:val="24"/>
          <w:szCs w:val="24"/>
        </w:rPr>
        <w:t xml:space="preserve">a </w:t>
      </w:r>
      <w:r w:rsidR="00A72A84">
        <w:rPr>
          <w:rFonts w:ascii="Times New Roman" w:hAnsi="Times New Roman" w:cs="Times New Roman"/>
          <w:sz w:val="24"/>
          <w:szCs w:val="24"/>
        </w:rPr>
        <w:t xml:space="preserve">national </w:t>
      </w:r>
      <w:r w:rsidR="002A799F">
        <w:rPr>
          <w:rFonts w:ascii="Times New Roman" w:hAnsi="Times New Roman" w:cs="Times New Roman"/>
          <w:sz w:val="24"/>
          <w:szCs w:val="24"/>
        </w:rPr>
        <w:t>TRC would allow Bosnians themselves to write their own history, rather than basing it on</w:t>
      </w:r>
      <w:r w:rsidR="00281C5C">
        <w:rPr>
          <w:rFonts w:ascii="Times New Roman" w:hAnsi="Times New Roman" w:cs="Times New Roman"/>
          <w:sz w:val="24"/>
          <w:szCs w:val="24"/>
        </w:rPr>
        <w:t xml:space="preserve"> the </w:t>
      </w:r>
      <w:r w:rsidR="00A72A84">
        <w:rPr>
          <w:rFonts w:ascii="Times New Roman" w:hAnsi="Times New Roman" w:cs="Times New Roman"/>
          <w:sz w:val="24"/>
          <w:szCs w:val="24"/>
        </w:rPr>
        <w:t>accounts</w:t>
      </w:r>
      <w:r w:rsidR="00281C5C">
        <w:rPr>
          <w:rFonts w:ascii="Times New Roman" w:hAnsi="Times New Roman" w:cs="Times New Roman"/>
          <w:sz w:val="24"/>
          <w:szCs w:val="24"/>
        </w:rPr>
        <w:t xml:space="preserve"> of ‘</w:t>
      </w:r>
      <w:r w:rsidR="00BB629C">
        <w:rPr>
          <w:rFonts w:ascii="Times New Roman" w:hAnsi="Times New Roman" w:cs="Times New Roman"/>
          <w:sz w:val="24"/>
          <w:szCs w:val="24"/>
        </w:rPr>
        <w:t>all those who passed through Bosnia thinking they understood everything about it</w:t>
      </w:r>
      <w:r w:rsidR="00B93059">
        <w:rPr>
          <w:rFonts w:ascii="Times New Roman" w:hAnsi="Times New Roman" w:cs="Times New Roman"/>
          <w:sz w:val="24"/>
          <w:szCs w:val="24"/>
        </w:rPr>
        <w:t>’</w:t>
      </w:r>
      <w:r w:rsidR="00BB629C">
        <w:rPr>
          <w:rFonts w:ascii="Times New Roman" w:hAnsi="Times New Roman" w:cs="Times New Roman"/>
          <w:sz w:val="24"/>
          <w:szCs w:val="24"/>
        </w:rPr>
        <w:t>.</w:t>
      </w:r>
      <w:r w:rsidR="00B93059">
        <w:rPr>
          <w:rStyle w:val="FootnoteReference"/>
          <w:rFonts w:ascii="Times New Roman" w:hAnsi="Times New Roman" w:cs="Times New Roman"/>
          <w:sz w:val="24"/>
          <w:szCs w:val="24"/>
        </w:rPr>
        <w:footnoteReference w:id="24"/>
      </w:r>
      <w:r w:rsidR="00BB629C">
        <w:rPr>
          <w:rFonts w:ascii="Times New Roman" w:hAnsi="Times New Roman" w:cs="Times New Roman"/>
          <w:sz w:val="24"/>
          <w:szCs w:val="24"/>
        </w:rPr>
        <w:t xml:space="preserve"> </w:t>
      </w:r>
      <w:r w:rsidR="00281C5C">
        <w:rPr>
          <w:rFonts w:ascii="Times New Roman" w:hAnsi="Times New Roman" w:cs="Times New Roman"/>
          <w:sz w:val="24"/>
          <w:szCs w:val="24"/>
        </w:rPr>
        <w:t xml:space="preserve">Finally, </w:t>
      </w:r>
      <w:r w:rsidR="00F97080">
        <w:rPr>
          <w:rFonts w:ascii="Times New Roman" w:hAnsi="Times New Roman" w:cs="Times New Roman"/>
          <w:sz w:val="24"/>
          <w:szCs w:val="24"/>
        </w:rPr>
        <w:t>they argued that</w:t>
      </w:r>
      <w:r w:rsidR="00B93059">
        <w:rPr>
          <w:rFonts w:ascii="Times New Roman" w:hAnsi="Times New Roman" w:cs="Times New Roman"/>
          <w:sz w:val="24"/>
          <w:szCs w:val="24"/>
        </w:rPr>
        <w:t xml:space="preserve"> a</w:t>
      </w:r>
      <w:r w:rsidR="00281C5C">
        <w:rPr>
          <w:rFonts w:ascii="Times New Roman" w:hAnsi="Times New Roman" w:cs="Times New Roman"/>
          <w:sz w:val="24"/>
          <w:szCs w:val="24"/>
        </w:rPr>
        <w:t xml:space="preserve"> Bosnian TRC would </w:t>
      </w:r>
      <w:r w:rsidR="005A2D56">
        <w:rPr>
          <w:rFonts w:ascii="Times New Roman" w:hAnsi="Times New Roman" w:cs="Times New Roman"/>
          <w:sz w:val="24"/>
          <w:szCs w:val="24"/>
        </w:rPr>
        <w:t>counter</w:t>
      </w:r>
      <w:r w:rsidR="00281C5C">
        <w:rPr>
          <w:rFonts w:ascii="Times New Roman" w:hAnsi="Times New Roman" w:cs="Times New Roman"/>
          <w:sz w:val="24"/>
          <w:szCs w:val="24"/>
        </w:rPr>
        <w:t xml:space="preserve"> the </w:t>
      </w:r>
      <w:r w:rsidR="00F97080">
        <w:rPr>
          <w:rFonts w:ascii="Times New Roman" w:hAnsi="Times New Roman" w:cs="Times New Roman"/>
          <w:sz w:val="24"/>
          <w:szCs w:val="24"/>
        </w:rPr>
        <w:t xml:space="preserve">prevailing </w:t>
      </w:r>
      <w:r w:rsidR="00281C5C">
        <w:rPr>
          <w:rFonts w:ascii="Times New Roman" w:hAnsi="Times New Roman" w:cs="Times New Roman"/>
          <w:sz w:val="24"/>
          <w:szCs w:val="24"/>
        </w:rPr>
        <w:t xml:space="preserve">three </w:t>
      </w:r>
      <w:r w:rsidR="00B93059">
        <w:rPr>
          <w:rFonts w:ascii="Times New Roman" w:hAnsi="Times New Roman" w:cs="Times New Roman"/>
          <w:sz w:val="24"/>
          <w:szCs w:val="24"/>
        </w:rPr>
        <w:t xml:space="preserve">ethnic </w:t>
      </w:r>
      <w:r w:rsidR="00281C5C">
        <w:rPr>
          <w:rFonts w:ascii="Times New Roman" w:hAnsi="Times New Roman" w:cs="Times New Roman"/>
          <w:sz w:val="24"/>
          <w:szCs w:val="24"/>
        </w:rPr>
        <w:t xml:space="preserve">truths </w:t>
      </w:r>
      <w:r w:rsidR="005A2D56">
        <w:rPr>
          <w:rFonts w:ascii="Times New Roman" w:hAnsi="Times New Roman" w:cs="Times New Roman"/>
          <w:sz w:val="24"/>
          <w:szCs w:val="24"/>
        </w:rPr>
        <w:t xml:space="preserve">(of Serbs, Croats and Bosniaks) </w:t>
      </w:r>
      <w:r w:rsidR="00281C5C">
        <w:rPr>
          <w:rFonts w:ascii="Times New Roman" w:hAnsi="Times New Roman" w:cs="Times New Roman"/>
          <w:sz w:val="24"/>
          <w:szCs w:val="24"/>
        </w:rPr>
        <w:t>and would thus serve to ‘</w:t>
      </w:r>
      <w:r w:rsidR="000A17D6">
        <w:rPr>
          <w:rFonts w:ascii="Times New Roman" w:hAnsi="Times New Roman" w:cs="Times New Roman"/>
          <w:sz w:val="24"/>
          <w:szCs w:val="24"/>
        </w:rPr>
        <w:t>bring our citizens and peoples to a position of constructively considering a common future’ and help ‘</w:t>
      </w:r>
      <w:r w:rsidR="00281C5C">
        <w:rPr>
          <w:rFonts w:ascii="Times New Roman" w:hAnsi="Times New Roman" w:cs="Times New Roman"/>
          <w:sz w:val="24"/>
          <w:szCs w:val="24"/>
        </w:rPr>
        <w:t>reconstruct our multi-ethnic society’</w:t>
      </w:r>
      <w:r w:rsidR="000A17D6">
        <w:rPr>
          <w:rFonts w:ascii="Times New Roman" w:hAnsi="Times New Roman" w:cs="Times New Roman"/>
          <w:sz w:val="24"/>
          <w:szCs w:val="24"/>
        </w:rPr>
        <w:t>.</w:t>
      </w:r>
      <w:r w:rsidR="00E85510">
        <w:rPr>
          <w:rStyle w:val="FootnoteReference"/>
          <w:rFonts w:ascii="Times New Roman" w:hAnsi="Times New Roman" w:cs="Times New Roman"/>
          <w:sz w:val="24"/>
          <w:szCs w:val="24"/>
        </w:rPr>
        <w:footnoteReference w:id="25"/>
      </w:r>
      <w:r w:rsidR="00281C5C">
        <w:rPr>
          <w:rFonts w:ascii="Times New Roman" w:hAnsi="Times New Roman" w:cs="Times New Roman"/>
          <w:sz w:val="24"/>
          <w:szCs w:val="24"/>
        </w:rPr>
        <w:t xml:space="preserve"> </w:t>
      </w:r>
      <w:r w:rsidR="00A72A84">
        <w:rPr>
          <w:rFonts w:ascii="Times New Roman" w:hAnsi="Times New Roman" w:cs="Times New Roman"/>
          <w:sz w:val="24"/>
          <w:szCs w:val="24"/>
        </w:rPr>
        <w:t>This</w:t>
      </w:r>
      <w:r w:rsidR="00E710B6">
        <w:rPr>
          <w:rFonts w:ascii="Times New Roman" w:hAnsi="Times New Roman" w:cs="Times New Roman"/>
          <w:sz w:val="24"/>
          <w:szCs w:val="24"/>
        </w:rPr>
        <w:t xml:space="preserve"> vision was shared by USIP—which wanted the commissio</w:t>
      </w:r>
      <w:r w:rsidR="00A72A84" w:rsidRPr="00A72A84">
        <w:rPr>
          <w:rFonts w:ascii="Times New Roman" w:hAnsi="Times New Roman" w:cs="Times New Roman"/>
          <w:sz w:val="24"/>
          <w:szCs w:val="24"/>
        </w:rPr>
        <w:t xml:space="preserve">n to produce a ‘definitive history of the war’ that would </w:t>
      </w:r>
      <w:r w:rsidR="00A72A84" w:rsidRPr="00A72A84">
        <w:rPr>
          <w:rFonts w:ascii="Times New Roman" w:hAnsi="Times New Roman" w:cs="Times New Roman"/>
          <w:sz w:val="24"/>
          <w:szCs w:val="24"/>
        </w:rPr>
        <w:lastRenderedPageBreak/>
        <w:t>be inclu</w:t>
      </w:r>
      <w:r w:rsidR="00A72A84">
        <w:rPr>
          <w:rFonts w:ascii="Times New Roman" w:hAnsi="Times New Roman" w:cs="Times New Roman"/>
          <w:sz w:val="24"/>
          <w:szCs w:val="24"/>
        </w:rPr>
        <w:t xml:space="preserve">ded in the national curriculum </w:t>
      </w:r>
      <w:r w:rsidR="00A72A84" w:rsidRPr="00A72A84">
        <w:rPr>
          <w:rFonts w:ascii="Times New Roman" w:hAnsi="Times New Roman" w:cs="Times New Roman"/>
          <w:sz w:val="24"/>
          <w:szCs w:val="24"/>
        </w:rPr>
        <w:t>as</w:t>
      </w:r>
      <w:r w:rsidR="00C81343">
        <w:rPr>
          <w:rFonts w:ascii="Times New Roman" w:hAnsi="Times New Roman" w:cs="Times New Roman"/>
          <w:sz w:val="24"/>
          <w:szCs w:val="24"/>
        </w:rPr>
        <w:t xml:space="preserve"> part of a sustained peace-building strategy</w:t>
      </w:r>
      <w:r w:rsidR="00A72A84" w:rsidRPr="00A72A84">
        <w:rPr>
          <w:rFonts w:ascii="Times New Roman" w:hAnsi="Times New Roman" w:cs="Times New Roman"/>
          <w:sz w:val="24"/>
          <w:szCs w:val="24"/>
        </w:rPr>
        <w:t>.</w:t>
      </w:r>
      <w:r w:rsidR="00A72A84">
        <w:rPr>
          <w:rStyle w:val="FootnoteReference"/>
          <w:rFonts w:ascii="Times New Roman" w:hAnsi="Times New Roman" w:cs="Times New Roman"/>
          <w:sz w:val="24"/>
          <w:szCs w:val="24"/>
        </w:rPr>
        <w:footnoteReference w:id="26"/>
      </w:r>
      <w:r w:rsidR="00A72A84">
        <w:rPr>
          <w:rFonts w:ascii="Times New Roman" w:hAnsi="Times New Roman" w:cs="Times New Roman"/>
          <w:sz w:val="24"/>
          <w:szCs w:val="24"/>
        </w:rPr>
        <w:t xml:space="preserve"> </w:t>
      </w:r>
      <w:r w:rsidR="00C81343">
        <w:rPr>
          <w:rFonts w:ascii="Times New Roman" w:hAnsi="Times New Roman" w:cs="Times New Roman"/>
          <w:sz w:val="24"/>
          <w:szCs w:val="24"/>
        </w:rPr>
        <w:t>T</w:t>
      </w:r>
      <w:r w:rsidR="00A72A84">
        <w:rPr>
          <w:rFonts w:ascii="Times New Roman" w:hAnsi="Times New Roman" w:cs="Times New Roman"/>
          <w:sz w:val="24"/>
          <w:szCs w:val="24"/>
        </w:rPr>
        <w:t>he Bosnian TRC</w:t>
      </w:r>
      <w:r w:rsidR="00281C5C">
        <w:rPr>
          <w:rFonts w:ascii="Times New Roman" w:hAnsi="Times New Roman" w:cs="Times New Roman"/>
          <w:sz w:val="24"/>
          <w:szCs w:val="24"/>
        </w:rPr>
        <w:t xml:space="preserve"> was </w:t>
      </w:r>
      <w:r w:rsidR="00C81343">
        <w:rPr>
          <w:rFonts w:ascii="Times New Roman" w:hAnsi="Times New Roman" w:cs="Times New Roman"/>
          <w:sz w:val="24"/>
          <w:szCs w:val="24"/>
        </w:rPr>
        <w:t xml:space="preserve">thus </w:t>
      </w:r>
      <w:r w:rsidR="00281C5C">
        <w:rPr>
          <w:rFonts w:ascii="Times New Roman" w:hAnsi="Times New Roman" w:cs="Times New Roman"/>
          <w:sz w:val="24"/>
          <w:szCs w:val="24"/>
        </w:rPr>
        <w:t xml:space="preserve">seen as an important part of </w:t>
      </w:r>
      <w:r w:rsidR="00A72A84">
        <w:rPr>
          <w:rFonts w:ascii="Times New Roman" w:hAnsi="Times New Roman" w:cs="Times New Roman"/>
          <w:sz w:val="24"/>
          <w:szCs w:val="24"/>
        </w:rPr>
        <w:t>the broader</w:t>
      </w:r>
      <w:r w:rsidR="00E710B6">
        <w:rPr>
          <w:rFonts w:ascii="Times New Roman" w:hAnsi="Times New Roman" w:cs="Times New Roman"/>
          <w:sz w:val="24"/>
          <w:szCs w:val="24"/>
        </w:rPr>
        <w:t xml:space="preserve"> international</w:t>
      </w:r>
      <w:r w:rsidR="00281C5C">
        <w:rPr>
          <w:rFonts w:ascii="Times New Roman" w:hAnsi="Times New Roman" w:cs="Times New Roman"/>
          <w:sz w:val="24"/>
          <w:szCs w:val="24"/>
        </w:rPr>
        <w:t xml:space="preserve"> </w:t>
      </w:r>
      <w:r w:rsidR="00572C9F">
        <w:rPr>
          <w:rFonts w:ascii="Times New Roman" w:hAnsi="Times New Roman" w:cs="Times New Roman"/>
          <w:sz w:val="24"/>
          <w:szCs w:val="24"/>
        </w:rPr>
        <w:t xml:space="preserve">agenda </w:t>
      </w:r>
      <w:r w:rsidR="00E710B6">
        <w:rPr>
          <w:rFonts w:ascii="Times New Roman" w:hAnsi="Times New Roman" w:cs="Times New Roman"/>
          <w:sz w:val="24"/>
          <w:szCs w:val="24"/>
        </w:rPr>
        <w:t xml:space="preserve">of </w:t>
      </w:r>
      <w:r w:rsidR="00A72A84">
        <w:rPr>
          <w:rFonts w:ascii="Times New Roman" w:hAnsi="Times New Roman" w:cs="Times New Roman"/>
          <w:sz w:val="24"/>
          <w:szCs w:val="24"/>
        </w:rPr>
        <w:t>reinforcing and supporting</w:t>
      </w:r>
      <w:r w:rsidR="00281C5C">
        <w:rPr>
          <w:rFonts w:ascii="Times New Roman" w:hAnsi="Times New Roman" w:cs="Times New Roman"/>
          <w:sz w:val="24"/>
          <w:szCs w:val="24"/>
        </w:rPr>
        <w:t xml:space="preserve"> a united Bosnia</w:t>
      </w:r>
      <w:r w:rsidR="0004541F">
        <w:rPr>
          <w:rFonts w:ascii="Times New Roman" w:hAnsi="Times New Roman" w:cs="Times New Roman"/>
          <w:sz w:val="24"/>
          <w:szCs w:val="24"/>
        </w:rPr>
        <w:t>n state</w:t>
      </w:r>
      <w:r w:rsidR="0038570D">
        <w:rPr>
          <w:rFonts w:ascii="Times New Roman" w:hAnsi="Times New Roman" w:cs="Times New Roman"/>
          <w:sz w:val="24"/>
          <w:szCs w:val="24"/>
        </w:rPr>
        <w:t>, while d</w:t>
      </w:r>
      <w:r w:rsidR="00E710B6">
        <w:rPr>
          <w:rFonts w:ascii="Times New Roman" w:hAnsi="Times New Roman" w:cs="Times New Roman"/>
          <w:sz w:val="24"/>
          <w:szCs w:val="24"/>
        </w:rPr>
        <w:t xml:space="preserve">omestically it was </w:t>
      </w:r>
      <w:r w:rsidR="00572C9F">
        <w:rPr>
          <w:rFonts w:ascii="Times New Roman" w:hAnsi="Times New Roman" w:cs="Times New Roman"/>
          <w:sz w:val="24"/>
          <w:szCs w:val="24"/>
        </w:rPr>
        <w:t>endorsed</w:t>
      </w:r>
      <w:r w:rsidR="00E710B6">
        <w:rPr>
          <w:rFonts w:ascii="Times New Roman" w:hAnsi="Times New Roman" w:cs="Times New Roman"/>
          <w:sz w:val="24"/>
          <w:szCs w:val="24"/>
        </w:rPr>
        <w:t xml:space="preserve"> by </w:t>
      </w:r>
      <w:r w:rsidR="00572C9F">
        <w:rPr>
          <w:rFonts w:ascii="Times New Roman" w:hAnsi="Times New Roman" w:cs="Times New Roman"/>
          <w:sz w:val="24"/>
          <w:szCs w:val="24"/>
        </w:rPr>
        <w:t>civil society actors</w:t>
      </w:r>
      <w:r w:rsidR="00E710B6">
        <w:rPr>
          <w:rFonts w:ascii="Times New Roman" w:hAnsi="Times New Roman" w:cs="Times New Roman"/>
          <w:sz w:val="24"/>
          <w:szCs w:val="24"/>
        </w:rPr>
        <w:t xml:space="preserve"> who </w:t>
      </w:r>
      <w:r w:rsidR="00C81343">
        <w:rPr>
          <w:rFonts w:ascii="Times New Roman" w:hAnsi="Times New Roman" w:cs="Times New Roman"/>
          <w:sz w:val="24"/>
          <w:szCs w:val="24"/>
        </w:rPr>
        <w:t>promoted</w:t>
      </w:r>
      <w:r w:rsidR="00F061EF">
        <w:rPr>
          <w:rFonts w:ascii="Times New Roman" w:hAnsi="Times New Roman" w:cs="Times New Roman"/>
          <w:sz w:val="24"/>
          <w:szCs w:val="24"/>
        </w:rPr>
        <w:t xml:space="preserve"> </w:t>
      </w:r>
      <w:r w:rsidR="005A2D56">
        <w:rPr>
          <w:rFonts w:ascii="Times New Roman" w:hAnsi="Times New Roman" w:cs="Times New Roman"/>
          <w:sz w:val="24"/>
          <w:szCs w:val="24"/>
        </w:rPr>
        <w:t xml:space="preserve">a </w:t>
      </w:r>
      <w:r w:rsidR="00C81343">
        <w:rPr>
          <w:rFonts w:ascii="Times New Roman" w:hAnsi="Times New Roman" w:cs="Times New Roman"/>
          <w:sz w:val="24"/>
          <w:szCs w:val="24"/>
        </w:rPr>
        <w:t>broad</w:t>
      </w:r>
      <w:r w:rsidR="00F061EF">
        <w:rPr>
          <w:rFonts w:ascii="Times New Roman" w:hAnsi="Times New Roman" w:cs="Times New Roman"/>
          <w:sz w:val="24"/>
          <w:szCs w:val="24"/>
        </w:rPr>
        <w:t xml:space="preserve"> pr</w:t>
      </w:r>
      <w:r w:rsidR="00E710B6">
        <w:rPr>
          <w:rFonts w:ascii="Times New Roman" w:hAnsi="Times New Roman" w:cs="Times New Roman"/>
          <w:sz w:val="24"/>
          <w:szCs w:val="24"/>
        </w:rPr>
        <w:t>ocess of confronting th</w:t>
      </w:r>
      <w:r w:rsidR="006C2CB1">
        <w:rPr>
          <w:rFonts w:ascii="Times New Roman" w:hAnsi="Times New Roman" w:cs="Times New Roman"/>
          <w:sz w:val="24"/>
          <w:szCs w:val="24"/>
        </w:rPr>
        <w:t>e recent</w:t>
      </w:r>
      <w:r w:rsidR="00E710B6">
        <w:rPr>
          <w:rFonts w:ascii="Times New Roman" w:hAnsi="Times New Roman" w:cs="Times New Roman"/>
          <w:sz w:val="24"/>
          <w:szCs w:val="24"/>
        </w:rPr>
        <w:t xml:space="preserve"> past and creating a new</w:t>
      </w:r>
      <w:r w:rsidR="00F061EF">
        <w:rPr>
          <w:rFonts w:ascii="Times New Roman" w:hAnsi="Times New Roman" w:cs="Times New Roman"/>
          <w:sz w:val="24"/>
          <w:szCs w:val="24"/>
        </w:rPr>
        <w:t xml:space="preserve"> sense of </w:t>
      </w:r>
      <w:r w:rsidR="001D59C4">
        <w:rPr>
          <w:rFonts w:ascii="Times New Roman" w:hAnsi="Times New Roman" w:cs="Times New Roman"/>
          <w:sz w:val="24"/>
          <w:szCs w:val="24"/>
        </w:rPr>
        <w:t xml:space="preserve">national </w:t>
      </w:r>
      <w:r w:rsidR="00F061EF">
        <w:rPr>
          <w:rFonts w:ascii="Times New Roman" w:hAnsi="Times New Roman" w:cs="Times New Roman"/>
          <w:sz w:val="24"/>
          <w:szCs w:val="24"/>
        </w:rPr>
        <w:t xml:space="preserve">identity. </w:t>
      </w:r>
      <w:r w:rsidR="00C81343">
        <w:rPr>
          <w:rFonts w:ascii="Times New Roman" w:hAnsi="Times New Roman" w:cs="Times New Roman"/>
          <w:sz w:val="24"/>
          <w:szCs w:val="24"/>
        </w:rPr>
        <w:t>A</w:t>
      </w:r>
      <w:r w:rsidR="005A2D56">
        <w:rPr>
          <w:rFonts w:ascii="Times New Roman" w:hAnsi="Times New Roman" w:cs="Times New Roman"/>
          <w:sz w:val="24"/>
          <w:szCs w:val="24"/>
        </w:rPr>
        <w:t xml:space="preserve"> Bosnian TRC </w:t>
      </w:r>
      <w:r w:rsidR="00F061EF">
        <w:rPr>
          <w:rFonts w:ascii="Times New Roman" w:hAnsi="Times New Roman" w:cs="Times New Roman"/>
          <w:sz w:val="24"/>
          <w:szCs w:val="24"/>
        </w:rPr>
        <w:t>would not jus</w:t>
      </w:r>
      <w:r w:rsidR="005A2D56">
        <w:rPr>
          <w:rFonts w:ascii="Times New Roman" w:hAnsi="Times New Roman" w:cs="Times New Roman"/>
          <w:sz w:val="24"/>
          <w:szCs w:val="24"/>
        </w:rPr>
        <w:t xml:space="preserve">t </w:t>
      </w:r>
      <w:r w:rsidR="0004541F">
        <w:rPr>
          <w:rFonts w:ascii="Times New Roman" w:hAnsi="Times New Roman" w:cs="Times New Roman"/>
          <w:sz w:val="24"/>
          <w:szCs w:val="24"/>
        </w:rPr>
        <w:t>aid the establishment of</w:t>
      </w:r>
      <w:r w:rsidR="005A2D56">
        <w:rPr>
          <w:rFonts w:ascii="Times New Roman" w:hAnsi="Times New Roman" w:cs="Times New Roman"/>
          <w:sz w:val="24"/>
          <w:szCs w:val="24"/>
        </w:rPr>
        <w:t xml:space="preserve"> democratic governance,</w:t>
      </w:r>
      <w:r w:rsidR="00F061EF">
        <w:rPr>
          <w:rFonts w:ascii="Times New Roman" w:hAnsi="Times New Roman" w:cs="Times New Roman"/>
          <w:sz w:val="24"/>
          <w:szCs w:val="24"/>
        </w:rPr>
        <w:t xml:space="preserve"> the rule of law and respect for human rights, but also </w:t>
      </w:r>
      <w:r w:rsidR="00C27425">
        <w:rPr>
          <w:rFonts w:ascii="Times New Roman" w:hAnsi="Times New Roman" w:cs="Times New Roman"/>
          <w:sz w:val="24"/>
          <w:szCs w:val="24"/>
        </w:rPr>
        <w:t>help</w:t>
      </w:r>
      <w:r w:rsidR="005A2D56">
        <w:rPr>
          <w:rFonts w:ascii="Times New Roman" w:hAnsi="Times New Roman" w:cs="Times New Roman"/>
          <w:sz w:val="24"/>
          <w:szCs w:val="24"/>
        </w:rPr>
        <w:t xml:space="preserve"> </w:t>
      </w:r>
      <w:r w:rsidR="00F061EF">
        <w:rPr>
          <w:rFonts w:ascii="Times New Roman" w:hAnsi="Times New Roman" w:cs="Times New Roman"/>
          <w:sz w:val="24"/>
          <w:szCs w:val="24"/>
        </w:rPr>
        <w:t xml:space="preserve">legitimize the fragile Bosnian state. </w:t>
      </w:r>
      <w:r w:rsidR="008A297B">
        <w:rPr>
          <w:rFonts w:ascii="Times New Roman" w:hAnsi="Times New Roman" w:cs="Times New Roman"/>
          <w:sz w:val="24"/>
          <w:szCs w:val="24"/>
        </w:rPr>
        <w:t>However, a</w:t>
      </w:r>
      <w:r w:rsidR="008F3814">
        <w:rPr>
          <w:rFonts w:ascii="Times New Roman" w:hAnsi="Times New Roman" w:cs="Times New Roman"/>
          <w:sz w:val="24"/>
          <w:szCs w:val="24"/>
        </w:rPr>
        <w:t xml:space="preserve">s </w:t>
      </w:r>
      <w:r w:rsidR="00104FD4">
        <w:rPr>
          <w:rFonts w:ascii="Times New Roman" w:hAnsi="Times New Roman" w:cs="Times New Roman"/>
          <w:sz w:val="24"/>
          <w:szCs w:val="24"/>
        </w:rPr>
        <w:t>su</w:t>
      </w:r>
      <w:r w:rsidR="00CC6CE4">
        <w:rPr>
          <w:rFonts w:ascii="Times New Roman" w:hAnsi="Times New Roman" w:cs="Times New Roman"/>
          <w:sz w:val="24"/>
          <w:szCs w:val="24"/>
        </w:rPr>
        <w:t>b</w:t>
      </w:r>
      <w:r w:rsidR="0038570D">
        <w:rPr>
          <w:rFonts w:ascii="Times New Roman" w:hAnsi="Times New Roman" w:cs="Times New Roman"/>
          <w:sz w:val="24"/>
          <w:szCs w:val="24"/>
        </w:rPr>
        <w:t>sequent events</w:t>
      </w:r>
      <w:r w:rsidR="00104FD4">
        <w:rPr>
          <w:rFonts w:ascii="Times New Roman" w:hAnsi="Times New Roman" w:cs="Times New Roman"/>
          <w:sz w:val="24"/>
          <w:szCs w:val="24"/>
        </w:rPr>
        <w:t xml:space="preserve"> </w:t>
      </w:r>
      <w:r w:rsidR="0038570D">
        <w:rPr>
          <w:rFonts w:ascii="Times New Roman" w:hAnsi="Times New Roman" w:cs="Times New Roman"/>
          <w:sz w:val="24"/>
          <w:szCs w:val="24"/>
        </w:rPr>
        <w:t>made evident</w:t>
      </w:r>
      <w:r w:rsidR="00EA7B3F">
        <w:rPr>
          <w:rFonts w:ascii="Times New Roman" w:hAnsi="Times New Roman" w:cs="Times New Roman"/>
          <w:sz w:val="24"/>
          <w:szCs w:val="24"/>
        </w:rPr>
        <w:t xml:space="preserve">, </w:t>
      </w:r>
      <w:r w:rsidR="00CC6CE4">
        <w:rPr>
          <w:rFonts w:ascii="Times New Roman" w:hAnsi="Times New Roman" w:cs="Times New Roman"/>
          <w:sz w:val="24"/>
          <w:szCs w:val="24"/>
        </w:rPr>
        <w:t>the project of trying to create a national truth commission</w:t>
      </w:r>
      <w:r w:rsidR="00EA7B3F">
        <w:rPr>
          <w:rFonts w:ascii="Times New Roman" w:hAnsi="Times New Roman" w:cs="Times New Roman"/>
          <w:sz w:val="24"/>
          <w:szCs w:val="24"/>
        </w:rPr>
        <w:t xml:space="preserve"> </w:t>
      </w:r>
      <w:r w:rsidR="008A297B">
        <w:rPr>
          <w:rFonts w:ascii="Times New Roman" w:hAnsi="Times New Roman" w:cs="Times New Roman"/>
          <w:sz w:val="24"/>
          <w:szCs w:val="24"/>
        </w:rPr>
        <w:t xml:space="preserve">turned out to be </w:t>
      </w:r>
      <w:r w:rsidR="00EA7B3F">
        <w:rPr>
          <w:rFonts w:ascii="Times New Roman" w:hAnsi="Times New Roman" w:cs="Times New Roman"/>
          <w:sz w:val="24"/>
          <w:szCs w:val="24"/>
        </w:rPr>
        <w:t>an impossible task</w:t>
      </w:r>
      <w:r w:rsidR="008F3814">
        <w:rPr>
          <w:rFonts w:ascii="Times New Roman" w:hAnsi="Times New Roman" w:cs="Times New Roman"/>
          <w:sz w:val="24"/>
          <w:szCs w:val="24"/>
        </w:rPr>
        <w:t xml:space="preserve">. </w:t>
      </w:r>
    </w:p>
    <w:p w:rsidR="009A3052" w:rsidRPr="00104D6D" w:rsidRDefault="009A3052" w:rsidP="009A3052">
      <w:r>
        <w:tab/>
      </w:r>
    </w:p>
    <w:p w:rsidR="008F3814" w:rsidRDefault="008F3814" w:rsidP="008F3814">
      <w:pPr>
        <w:spacing w:line="360" w:lineRule="auto"/>
        <w:rPr>
          <w:rFonts w:ascii="Times New Roman" w:hAnsi="Times New Roman" w:cs="Times New Roman"/>
          <w:b/>
          <w:i/>
          <w:sz w:val="24"/>
          <w:szCs w:val="24"/>
        </w:rPr>
      </w:pPr>
      <w:r>
        <w:rPr>
          <w:rFonts w:ascii="Times New Roman" w:hAnsi="Times New Roman" w:cs="Times New Roman"/>
          <w:b/>
          <w:i/>
          <w:sz w:val="24"/>
          <w:szCs w:val="24"/>
        </w:rPr>
        <w:t xml:space="preserve">Putting Ideas into Practice: Attempts to Create a </w:t>
      </w:r>
      <w:r w:rsidR="003025F8">
        <w:rPr>
          <w:rFonts w:ascii="Times New Roman" w:hAnsi="Times New Roman" w:cs="Times New Roman"/>
          <w:b/>
          <w:i/>
          <w:sz w:val="24"/>
          <w:szCs w:val="24"/>
        </w:rPr>
        <w:t xml:space="preserve">Bosnian </w:t>
      </w:r>
      <w:r>
        <w:rPr>
          <w:rFonts w:ascii="Times New Roman" w:hAnsi="Times New Roman" w:cs="Times New Roman"/>
          <w:b/>
          <w:i/>
          <w:sz w:val="24"/>
          <w:szCs w:val="24"/>
        </w:rPr>
        <w:t>Truth and Reconciliation Commis</w:t>
      </w:r>
      <w:r w:rsidR="003025F8">
        <w:rPr>
          <w:rFonts w:ascii="Times New Roman" w:hAnsi="Times New Roman" w:cs="Times New Roman"/>
          <w:b/>
          <w:i/>
          <w:sz w:val="24"/>
          <w:szCs w:val="24"/>
        </w:rPr>
        <w:t>sion</w:t>
      </w:r>
      <w:r w:rsidR="00CA1A06">
        <w:rPr>
          <w:rFonts w:ascii="Times New Roman" w:hAnsi="Times New Roman" w:cs="Times New Roman"/>
          <w:b/>
          <w:i/>
          <w:sz w:val="24"/>
          <w:szCs w:val="24"/>
        </w:rPr>
        <w:t>, 1997</w:t>
      </w:r>
      <w:r>
        <w:rPr>
          <w:rFonts w:ascii="Times New Roman" w:hAnsi="Times New Roman" w:cs="Times New Roman"/>
          <w:b/>
          <w:i/>
          <w:sz w:val="24"/>
          <w:szCs w:val="24"/>
        </w:rPr>
        <w:t>-200</w:t>
      </w:r>
      <w:r w:rsidR="004C5370">
        <w:rPr>
          <w:rFonts w:ascii="Times New Roman" w:hAnsi="Times New Roman" w:cs="Times New Roman"/>
          <w:b/>
          <w:i/>
          <w:sz w:val="24"/>
          <w:szCs w:val="24"/>
        </w:rPr>
        <w:t>6</w:t>
      </w:r>
    </w:p>
    <w:p w:rsidR="0037089A" w:rsidRDefault="004C5370" w:rsidP="000E5172">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The pro</w:t>
      </w:r>
      <w:r w:rsidR="00675C6B">
        <w:rPr>
          <w:rFonts w:ascii="Times New Roman" w:hAnsi="Times New Roman" w:cs="Times New Roman"/>
          <w:sz w:val="24"/>
          <w:szCs w:val="24"/>
        </w:rPr>
        <w:t>ject</w:t>
      </w:r>
      <w:r>
        <w:rPr>
          <w:rFonts w:ascii="Times New Roman" w:hAnsi="Times New Roman" w:cs="Times New Roman"/>
          <w:sz w:val="24"/>
          <w:szCs w:val="24"/>
        </w:rPr>
        <w:t xml:space="preserve"> of </w:t>
      </w:r>
      <w:r w:rsidR="00104FD4">
        <w:rPr>
          <w:rFonts w:ascii="Times New Roman" w:hAnsi="Times New Roman" w:cs="Times New Roman"/>
          <w:sz w:val="24"/>
          <w:szCs w:val="24"/>
        </w:rPr>
        <w:t>put</w:t>
      </w:r>
      <w:r w:rsidR="00BC7FF7">
        <w:rPr>
          <w:rFonts w:ascii="Times New Roman" w:hAnsi="Times New Roman" w:cs="Times New Roman"/>
          <w:sz w:val="24"/>
          <w:szCs w:val="24"/>
        </w:rPr>
        <w:t xml:space="preserve">ting these ideas into practice </w:t>
      </w:r>
      <w:r>
        <w:rPr>
          <w:rFonts w:ascii="Times New Roman" w:hAnsi="Times New Roman" w:cs="Times New Roman"/>
          <w:sz w:val="24"/>
          <w:szCs w:val="24"/>
        </w:rPr>
        <w:t xml:space="preserve">spanned almost a decade, </w:t>
      </w:r>
      <w:r w:rsidR="0014131F">
        <w:rPr>
          <w:rFonts w:ascii="Times New Roman" w:hAnsi="Times New Roman" w:cs="Times New Roman"/>
          <w:sz w:val="24"/>
          <w:szCs w:val="24"/>
        </w:rPr>
        <w:t>but never got</w:t>
      </w:r>
      <w:r>
        <w:rPr>
          <w:rFonts w:ascii="Times New Roman" w:hAnsi="Times New Roman" w:cs="Times New Roman"/>
          <w:sz w:val="24"/>
          <w:szCs w:val="24"/>
        </w:rPr>
        <w:t xml:space="preserve"> beyond the stage of</w:t>
      </w:r>
      <w:r w:rsidR="00FF1A13">
        <w:rPr>
          <w:rFonts w:ascii="Times New Roman" w:hAnsi="Times New Roman" w:cs="Times New Roman"/>
          <w:sz w:val="24"/>
          <w:szCs w:val="24"/>
        </w:rPr>
        <w:t xml:space="preserve"> producing</w:t>
      </w:r>
      <w:r>
        <w:rPr>
          <w:rFonts w:ascii="Times New Roman" w:hAnsi="Times New Roman" w:cs="Times New Roman"/>
          <w:sz w:val="24"/>
          <w:szCs w:val="24"/>
        </w:rPr>
        <w:t xml:space="preserve"> a draft law for the creation of </w:t>
      </w:r>
      <w:r w:rsidR="00BC7FF7">
        <w:rPr>
          <w:rFonts w:ascii="Times New Roman" w:hAnsi="Times New Roman" w:cs="Times New Roman"/>
          <w:sz w:val="24"/>
          <w:szCs w:val="24"/>
        </w:rPr>
        <w:t>a Bosnian TRC</w:t>
      </w:r>
      <w:r>
        <w:rPr>
          <w:rFonts w:ascii="Times New Roman" w:hAnsi="Times New Roman" w:cs="Times New Roman"/>
          <w:sz w:val="24"/>
          <w:szCs w:val="24"/>
        </w:rPr>
        <w:t xml:space="preserve">. </w:t>
      </w:r>
      <w:r w:rsidR="0014131F">
        <w:rPr>
          <w:rFonts w:ascii="Times New Roman" w:hAnsi="Times New Roman" w:cs="Times New Roman"/>
          <w:sz w:val="24"/>
          <w:szCs w:val="24"/>
        </w:rPr>
        <w:t xml:space="preserve">It went through two main phases: </w:t>
      </w:r>
      <w:r w:rsidR="00380CF1">
        <w:rPr>
          <w:rFonts w:ascii="Times New Roman" w:hAnsi="Times New Roman" w:cs="Times New Roman"/>
          <w:sz w:val="24"/>
          <w:szCs w:val="24"/>
        </w:rPr>
        <w:t>a first</w:t>
      </w:r>
      <w:r w:rsidR="0014131F">
        <w:rPr>
          <w:rFonts w:ascii="Times New Roman" w:hAnsi="Times New Roman" w:cs="Times New Roman"/>
          <w:sz w:val="24"/>
          <w:szCs w:val="24"/>
        </w:rPr>
        <w:t>,</w:t>
      </w:r>
      <w:r w:rsidR="0037089A">
        <w:rPr>
          <w:rFonts w:ascii="Times New Roman" w:hAnsi="Times New Roman" w:cs="Times New Roman"/>
          <w:sz w:val="24"/>
          <w:szCs w:val="24"/>
        </w:rPr>
        <w:t xml:space="preserve"> from 1997 to 2001,</w:t>
      </w:r>
      <w:r w:rsidR="0014131F">
        <w:rPr>
          <w:rFonts w:ascii="Times New Roman" w:hAnsi="Times New Roman" w:cs="Times New Roman"/>
          <w:sz w:val="24"/>
          <w:szCs w:val="24"/>
        </w:rPr>
        <w:t xml:space="preserve"> </w:t>
      </w:r>
      <w:r w:rsidR="00DF248B">
        <w:rPr>
          <w:rFonts w:ascii="Times New Roman" w:hAnsi="Times New Roman" w:cs="Times New Roman"/>
          <w:sz w:val="24"/>
          <w:szCs w:val="24"/>
        </w:rPr>
        <w:t xml:space="preserve">in which </w:t>
      </w:r>
      <w:r w:rsidR="00675C6B">
        <w:rPr>
          <w:rFonts w:ascii="Times New Roman" w:hAnsi="Times New Roman" w:cs="Times New Roman"/>
          <w:sz w:val="24"/>
          <w:szCs w:val="24"/>
        </w:rPr>
        <w:t>it</w:t>
      </w:r>
      <w:r w:rsidR="00DF248B">
        <w:rPr>
          <w:rFonts w:ascii="Times New Roman" w:hAnsi="Times New Roman" w:cs="Times New Roman"/>
          <w:sz w:val="24"/>
          <w:szCs w:val="24"/>
        </w:rPr>
        <w:t xml:space="preserve"> was developed as a civil society initiativ</w:t>
      </w:r>
      <w:r w:rsidR="00572C9F">
        <w:rPr>
          <w:rFonts w:ascii="Times New Roman" w:hAnsi="Times New Roman" w:cs="Times New Roman"/>
          <w:sz w:val="24"/>
          <w:szCs w:val="24"/>
        </w:rPr>
        <w:t>e</w:t>
      </w:r>
      <w:r w:rsidR="00206007">
        <w:rPr>
          <w:rFonts w:ascii="Times New Roman" w:hAnsi="Times New Roman" w:cs="Times New Roman"/>
          <w:sz w:val="24"/>
          <w:szCs w:val="24"/>
        </w:rPr>
        <w:t>,</w:t>
      </w:r>
      <w:r w:rsidR="00572C9F">
        <w:rPr>
          <w:rFonts w:ascii="Times New Roman" w:hAnsi="Times New Roman" w:cs="Times New Roman"/>
          <w:sz w:val="24"/>
          <w:szCs w:val="24"/>
        </w:rPr>
        <w:t xml:space="preserve"> and a second,</w:t>
      </w:r>
      <w:r w:rsidR="0037089A">
        <w:rPr>
          <w:rFonts w:ascii="Times New Roman" w:hAnsi="Times New Roman" w:cs="Times New Roman"/>
          <w:sz w:val="24"/>
          <w:szCs w:val="24"/>
        </w:rPr>
        <w:t xml:space="preserve"> from 2005 to 2006,</w:t>
      </w:r>
      <w:r w:rsidR="00572C9F">
        <w:rPr>
          <w:rFonts w:ascii="Times New Roman" w:hAnsi="Times New Roman" w:cs="Times New Roman"/>
          <w:sz w:val="24"/>
          <w:szCs w:val="24"/>
        </w:rPr>
        <w:t xml:space="preserve"> in which it became the remit of</w:t>
      </w:r>
      <w:r w:rsidR="00DF248B">
        <w:rPr>
          <w:rFonts w:ascii="Times New Roman" w:hAnsi="Times New Roman" w:cs="Times New Roman"/>
          <w:sz w:val="24"/>
          <w:szCs w:val="24"/>
        </w:rPr>
        <w:t xml:space="preserve"> a working group within the Bosnian parliament</w:t>
      </w:r>
      <w:r w:rsidR="00572C9F">
        <w:rPr>
          <w:rFonts w:ascii="Times New Roman" w:hAnsi="Times New Roman" w:cs="Times New Roman"/>
          <w:sz w:val="24"/>
          <w:szCs w:val="24"/>
        </w:rPr>
        <w:t xml:space="preserve"> and was </w:t>
      </w:r>
      <w:r>
        <w:rPr>
          <w:rFonts w:ascii="Times New Roman" w:hAnsi="Times New Roman" w:cs="Times New Roman"/>
          <w:sz w:val="24"/>
          <w:szCs w:val="24"/>
        </w:rPr>
        <w:t xml:space="preserve">linked to the larger </w:t>
      </w:r>
      <w:r w:rsidR="00675C6B">
        <w:rPr>
          <w:rFonts w:ascii="Times New Roman" w:hAnsi="Times New Roman" w:cs="Times New Roman"/>
          <w:sz w:val="24"/>
          <w:szCs w:val="24"/>
        </w:rPr>
        <w:t>process</w:t>
      </w:r>
      <w:r>
        <w:rPr>
          <w:rFonts w:ascii="Times New Roman" w:hAnsi="Times New Roman" w:cs="Times New Roman"/>
          <w:sz w:val="24"/>
          <w:szCs w:val="24"/>
        </w:rPr>
        <w:t xml:space="preserve"> o</w:t>
      </w:r>
      <w:r w:rsidR="00572C9F">
        <w:rPr>
          <w:rFonts w:ascii="Times New Roman" w:hAnsi="Times New Roman" w:cs="Times New Roman"/>
          <w:sz w:val="24"/>
          <w:szCs w:val="24"/>
        </w:rPr>
        <w:t>f Bosnian constitutional reform</w:t>
      </w:r>
      <w:r>
        <w:rPr>
          <w:rFonts w:ascii="Times New Roman" w:hAnsi="Times New Roman" w:cs="Times New Roman"/>
          <w:sz w:val="24"/>
          <w:szCs w:val="24"/>
        </w:rPr>
        <w:t>.</w:t>
      </w:r>
      <w:r w:rsidR="00052168">
        <w:rPr>
          <w:rStyle w:val="FootnoteReference"/>
          <w:rFonts w:ascii="Times New Roman" w:hAnsi="Times New Roman" w:cs="Times New Roman"/>
          <w:sz w:val="24"/>
          <w:szCs w:val="24"/>
        </w:rPr>
        <w:footnoteReference w:id="27"/>
      </w:r>
      <w:r w:rsidR="0076028F">
        <w:rPr>
          <w:rFonts w:ascii="Times New Roman" w:hAnsi="Times New Roman" w:cs="Times New Roman"/>
          <w:sz w:val="24"/>
          <w:szCs w:val="24"/>
        </w:rPr>
        <w:t xml:space="preserve"> </w:t>
      </w:r>
      <w:r w:rsidR="00315118">
        <w:rPr>
          <w:rFonts w:ascii="Times New Roman" w:hAnsi="Times New Roman" w:cs="Times New Roman"/>
          <w:sz w:val="24"/>
          <w:szCs w:val="24"/>
        </w:rPr>
        <w:t>Despite their different emphas</w:t>
      </w:r>
      <w:r w:rsidR="003D24C0">
        <w:rPr>
          <w:rFonts w:ascii="Times New Roman" w:hAnsi="Times New Roman" w:cs="Times New Roman"/>
          <w:sz w:val="24"/>
          <w:szCs w:val="24"/>
        </w:rPr>
        <w:t>e</w:t>
      </w:r>
      <w:r w:rsidR="00315118">
        <w:rPr>
          <w:rFonts w:ascii="Times New Roman" w:hAnsi="Times New Roman" w:cs="Times New Roman"/>
          <w:sz w:val="24"/>
          <w:szCs w:val="24"/>
        </w:rPr>
        <w:t xml:space="preserve">s, both phases aimed ultimately at the creation of an official national body, </w:t>
      </w:r>
      <w:r w:rsidR="003D24C0">
        <w:rPr>
          <w:rFonts w:ascii="Times New Roman" w:hAnsi="Times New Roman" w:cs="Times New Roman"/>
          <w:sz w:val="24"/>
          <w:szCs w:val="24"/>
        </w:rPr>
        <w:t>and both stalled</w:t>
      </w:r>
      <w:r w:rsidR="00315118">
        <w:rPr>
          <w:rFonts w:ascii="Times New Roman" w:hAnsi="Times New Roman" w:cs="Times New Roman"/>
          <w:sz w:val="24"/>
          <w:szCs w:val="24"/>
        </w:rPr>
        <w:t xml:space="preserve"> </w:t>
      </w:r>
      <w:r w:rsidR="00BC7FF7">
        <w:rPr>
          <w:rFonts w:ascii="Times New Roman" w:hAnsi="Times New Roman" w:cs="Times New Roman"/>
          <w:sz w:val="24"/>
          <w:szCs w:val="24"/>
        </w:rPr>
        <w:t>as soon as</w:t>
      </w:r>
      <w:r w:rsidR="00315118">
        <w:rPr>
          <w:rFonts w:ascii="Times New Roman" w:hAnsi="Times New Roman" w:cs="Times New Roman"/>
          <w:sz w:val="24"/>
          <w:szCs w:val="24"/>
        </w:rPr>
        <w:t xml:space="preserve"> they </w:t>
      </w:r>
      <w:r w:rsidR="003D24C0">
        <w:rPr>
          <w:rFonts w:ascii="Times New Roman" w:hAnsi="Times New Roman" w:cs="Times New Roman"/>
          <w:sz w:val="24"/>
          <w:szCs w:val="24"/>
        </w:rPr>
        <w:t>passed the preliminary stage.</w:t>
      </w:r>
      <w:r w:rsidR="00E47C94">
        <w:rPr>
          <w:rFonts w:ascii="Times New Roman" w:hAnsi="Times New Roman" w:cs="Times New Roman"/>
          <w:sz w:val="24"/>
          <w:szCs w:val="24"/>
        </w:rPr>
        <w:t xml:space="preserve"> </w:t>
      </w:r>
    </w:p>
    <w:p w:rsidR="0084013C" w:rsidRPr="004B192B" w:rsidRDefault="005A2D56" w:rsidP="004B192B">
      <w:pPr>
        <w:spacing w:before="240" w:after="0"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As one perceptive analyst noted at the time, the exceptional degree of international </w:t>
      </w:r>
      <w:r w:rsidR="00230D70">
        <w:rPr>
          <w:rFonts w:ascii="Times New Roman" w:hAnsi="Times New Roman" w:cs="Times New Roman"/>
          <w:sz w:val="24"/>
          <w:szCs w:val="24"/>
        </w:rPr>
        <w:t>involvement</w:t>
      </w:r>
      <w:r>
        <w:rPr>
          <w:rFonts w:ascii="Times New Roman" w:hAnsi="Times New Roman" w:cs="Times New Roman"/>
          <w:sz w:val="24"/>
          <w:szCs w:val="24"/>
        </w:rPr>
        <w:t xml:space="preserve"> in the country</w:t>
      </w:r>
      <w:r w:rsidR="00675C6B">
        <w:rPr>
          <w:rFonts w:ascii="Times New Roman" w:hAnsi="Times New Roman" w:cs="Times New Roman"/>
          <w:sz w:val="24"/>
          <w:szCs w:val="24"/>
        </w:rPr>
        <w:t>,</w:t>
      </w:r>
      <w:r w:rsidR="000F5684">
        <w:rPr>
          <w:rFonts w:ascii="Times New Roman" w:hAnsi="Times New Roman" w:cs="Times New Roman"/>
          <w:sz w:val="24"/>
          <w:szCs w:val="24"/>
        </w:rPr>
        <w:t xml:space="preserve"> combined with the </w:t>
      </w:r>
      <w:r w:rsidR="0037089A">
        <w:rPr>
          <w:rFonts w:ascii="Times New Roman" w:hAnsi="Times New Roman" w:cs="Times New Roman"/>
          <w:sz w:val="24"/>
          <w:szCs w:val="24"/>
        </w:rPr>
        <w:t>lack of regime change</w:t>
      </w:r>
      <w:r w:rsidR="00675C6B">
        <w:rPr>
          <w:rFonts w:ascii="Times New Roman" w:hAnsi="Times New Roman" w:cs="Times New Roman"/>
          <w:sz w:val="24"/>
          <w:szCs w:val="24"/>
        </w:rPr>
        <w:t>,</w:t>
      </w:r>
      <w:r w:rsidR="001C0D13">
        <w:rPr>
          <w:rFonts w:ascii="Times New Roman" w:hAnsi="Times New Roman" w:cs="Times New Roman"/>
          <w:sz w:val="24"/>
          <w:szCs w:val="24"/>
        </w:rPr>
        <w:t xml:space="preserve"> </w:t>
      </w:r>
      <w:r w:rsidR="00E47C94">
        <w:rPr>
          <w:rFonts w:ascii="Times New Roman" w:hAnsi="Times New Roman" w:cs="Times New Roman"/>
          <w:sz w:val="24"/>
          <w:szCs w:val="24"/>
        </w:rPr>
        <w:t>present</w:t>
      </w:r>
      <w:r w:rsidR="004B192B">
        <w:rPr>
          <w:rFonts w:ascii="Times New Roman" w:hAnsi="Times New Roman" w:cs="Times New Roman"/>
          <w:sz w:val="24"/>
          <w:szCs w:val="24"/>
        </w:rPr>
        <w:t>ed</w:t>
      </w:r>
      <w:r w:rsidR="001C0D13">
        <w:rPr>
          <w:rFonts w:ascii="Times New Roman" w:hAnsi="Times New Roman" w:cs="Times New Roman"/>
          <w:sz w:val="24"/>
          <w:szCs w:val="24"/>
        </w:rPr>
        <w:t xml:space="preserve"> </w:t>
      </w:r>
      <w:r w:rsidR="000F5684">
        <w:rPr>
          <w:rFonts w:ascii="Times New Roman" w:hAnsi="Times New Roman" w:cs="Times New Roman"/>
          <w:sz w:val="24"/>
          <w:szCs w:val="24"/>
        </w:rPr>
        <w:t>the TRC</w:t>
      </w:r>
      <w:r w:rsidR="00376D64">
        <w:rPr>
          <w:rFonts w:ascii="Times New Roman" w:hAnsi="Times New Roman" w:cs="Times New Roman"/>
          <w:sz w:val="24"/>
          <w:szCs w:val="24"/>
        </w:rPr>
        <w:t>’s</w:t>
      </w:r>
      <w:r w:rsidR="000F5684">
        <w:rPr>
          <w:rFonts w:ascii="Times New Roman" w:hAnsi="Times New Roman" w:cs="Times New Roman"/>
          <w:sz w:val="24"/>
          <w:szCs w:val="24"/>
        </w:rPr>
        <w:t xml:space="preserve"> </w:t>
      </w:r>
      <w:r w:rsidR="00376D64">
        <w:rPr>
          <w:rFonts w:ascii="Times New Roman" w:hAnsi="Times New Roman" w:cs="Times New Roman"/>
          <w:sz w:val="24"/>
          <w:szCs w:val="24"/>
        </w:rPr>
        <w:t>advocates</w:t>
      </w:r>
      <w:r w:rsidR="00E47C94">
        <w:rPr>
          <w:rFonts w:ascii="Times New Roman" w:hAnsi="Times New Roman" w:cs="Times New Roman"/>
          <w:sz w:val="24"/>
          <w:szCs w:val="24"/>
        </w:rPr>
        <w:t xml:space="preserve"> with a paradox: to be legitimate</w:t>
      </w:r>
      <w:r w:rsidR="00104FD4">
        <w:rPr>
          <w:rFonts w:ascii="Times New Roman" w:hAnsi="Times New Roman" w:cs="Times New Roman"/>
          <w:sz w:val="24"/>
          <w:szCs w:val="24"/>
        </w:rPr>
        <w:t>,</w:t>
      </w:r>
      <w:r w:rsidR="00E47C94">
        <w:rPr>
          <w:rFonts w:ascii="Times New Roman" w:hAnsi="Times New Roman" w:cs="Times New Roman"/>
          <w:sz w:val="24"/>
          <w:szCs w:val="24"/>
        </w:rPr>
        <w:t xml:space="preserve"> </w:t>
      </w:r>
      <w:r w:rsidR="0037089A">
        <w:rPr>
          <w:rFonts w:ascii="Times New Roman" w:hAnsi="Times New Roman" w:cs="Times New Roman"/>
          <w:sz w:val="24"/>
          <w:szCs w:val="24"/>
        </w:rPr>
        <w:t>the Bosnian truth commission</w:t>
      </w:r>
      <w:r w:rsidR="00E47C94">
        <w:rPr>
          <w:rFonts w:ascii="Times New Roman" w:hAnsi="Times New Roman" w:cs="Times New Roman"/>
          <w:sz w:val="24"/>
          <w:szCs w:val="24"/>
        </w:rPr>
        <w:t xml:space="preserve"> needed to be perceived locally as an authentic national institution, yet </w:t>
      </w:r>
      <w:r w:rsidR="0037089A">
        <w:rPr>
          <w:rFonts w:ascii="Times New Roman" w:hAnsi="Times New Roman" w:cs="Times New Roman"/>
          <w:sz w:val="24"/>
          <w:szCs w:val="24"/>
        </w:rPr>
        <w:t>the country’s</w:t>
      </w:r>
      <w:r w:rsidR="00E47C94">
        <w:rPr>
          <w:rFonts w:ascii="Times New Roman" w:hAnsi="Times New Roman" w:cs="Times New Roman"/>
          <w:sz w:val="24"/>
          <w:szCs w:val="24"/>
        </w:rPr>
        <w:t xml:space="preserve"> </w:t>
      </w:r>
      <w:r w:rsidR="0037089A">
        <w:rPr>
          <w:rFonts w:ascii="Times New Roman" w:hAnsi="Times New Roman" w:cs="Times New Roman"/>
          <w:sz w:val="24"/>
          <w:szCs w:val="24"/>
        </w:rPr>
        <w:t xml:space="preserve">nationalist politicians (many of whom had been in power during the war) </w:t>
      </w:r>
      <w:r w:rsidR="00675C6B">
        <w:rPr>
          <w:rFonts w:ascii="Times New Roman" w:hAnsi="Times New Roman" w:cs="Times New Roman"/>
          <w:sz w:val="24"/>
          <w:szCs w:val="24"/>
        </w:rPr>
        <w:t xml:space="preserve">could not be relied upon </w:t>
      </w:r>
      <w:r w:rsidR="0037089A">
        <w:rPr>
          <w:rFonts w:ascii="Times New Roman" w:hAnsi="Times New Roman" w:cs="Times New Roman"/>
          <w:sz w:val="24"/>
          <w:szCs w:val="24"/>
        </w:rPr>
        <w:t>to drive the process forward</w:t>
      </w:r>
      <w:r w:rsidR="00DF248B">
        <w:rPr>
          <w:rFonts w:ascii="Times New Roman" w:hAnsi="Times New Roman" w:cs="Times New Roman"/>
          <w:sz w:val="24"/>
          <w:szCs w:val="24"/>
        </w:rPr>
        <w:t>.</w:t>
      </w:r>
      <w:r w:rsidR="000F5684">
        <w:rPr>
          <w:rStyle w:val="FootnoteReference"/>
          <w:rFonts w:ascii="Times New Roman" w:hAnsi="Times New Roman" w:cs="Times New Roman"/>
          <w:sz w:val="24"/>
          <w:szCs w:val="24"/>
        </w:rPr>
        <w:footnoteReference w:id="28"/>
      </w:r>
      <w:r w:rsidR="00E47C94">
        <w:rPr>
          <w:rFonts w:ascii="Times New Roman" w:hAnsi="Times New Roman" w:cs="Times New Roman"/>
          <w:sz w:val="24"/>
          <w:szCs w:val="24"/>
        </w:rPr>
        <w:t xml:space="preserve"> As a result, </w:t>
      </w:r>
      <w:r w:rsidR="0037089A">
        <w:rPr>
          <w:rFonts w:ascii="Times New Roman" w:hAnsi="Times New Roman" w:cs="Times New Roman"/>
          <w:sz w:val="24"/>
          <w:szCs w:val="24"/>
        </w:rPr>
        <w:t>the TRC’s</w:t>
      </w:r>
      <w:r w:rsidR="00E47C94">
        <w:rPr>
          <w:rFonts w:ascii="Times New Roman" w:hAnsi="Times New Roman" w:cs="Times New Roman"/>
          <w:sz w:val="24"/>
          <w:szCs w:val="24"/>
        </w:rPr>
        <w:t xml:space="preserve"> international </w:t>
      </w:r>
      <w:r w:rsidR="0037089A">
        <w:rPr>
          <w:rFonts w:ascii="Times New Roman" w:hAnsi="Times New Roman" w:cs="Times New Roman"/>
          <w:sz w:val="24"/>
          <w:szCs w:val="24"/>
        </w:rPr>
        <w:t>backers</w:t>
      </w:r>
      <w:r w:rsidR="00E47C94">
        <w:rPr>
          <w:rFonts w:ascii="Times New Roman" w:hAnsi="Times New Roman" w:cs="Times New Roman"/>
          <w:sz w:val="24"/>
          <w:szCs w:val="24"/>
        </w:rPr>
        <w:t xml:space="preserve"> </w:t>
      </w:r>
      <w:r w:rsidR="00A142C0">
        <w:rPr>
          <w:rFonts w:ascii="Times New Roman" w:hAnsi="Times New Roman" w:cs="Times New Roman"/>
          <w:sz w:val="24"/>
          <w:szCs w:val="24"/>
        </w:rPr>
        <w:t xml:space="preserve">initially </w:t>
      </w:r>
      <w:r w:rsidR="00E47C94">
        <w:rPr>
          <w:rFonts w:ascii="Times New Roman" w:hAnsi="Times New Roman" w:cs="Times New Roman"/>
          <w:sz w:val="24"/>
          <w:szCs w:val="24"/>
        </w:rPr>
        <w:t xml:space="preserve">adopted a different approach: they </w:t>
      </w:r>
      <w:r w:rsidR="00376D64">
        <w:rPr>
          <w:rFonts w:ascii="Times New Roman" w:hAnsi="Times New Roman" w:cs="Times New Roman"/>
          <w:sz w:val="24"/>
          <w:szCs w:val="24"/>
        </w:rPr>
        <w:t xml:space="preserve">first </w:t>
      </w:r>
      <w:r w:rsidR="00A142C0">
        <w:rPr>
          <w:rFonts w:ascii="Times New Roman" w:hAnsi="Times New Roman" w:cs="Times New Roman"/>
          <w:sz w:val="24"/>
          <w:szCs w:val="24"/>
        </w:rPr>
        <w:t>tried</w:t>
      </w:r>
      <w:r w:rsidR="00B84F7E">
        <w:rPr>
          <w:rFonts w:ascii="Times New Roman" w:hAnsi="Times New Roman" w:cs="Times New Roman"/>
          <w:sz w:val="24"/>
          <w:szCs w:val="24"/>
        </w:rPr>
        <w:t xml:space="preserve"> to gain broad support for</w:t>
      </w:r>
      <w:r w:rsidR="0037089A">
        <w:rPr>
          <w:rFonts w:ascii="Times New Roman" w:hAnsi="Times New Roman" w:cs="Times New Roman"/>
          <w:sz w:val="24"/>
          <w:szCs w:val="24"/>
        </w:rPr>
        <w:t xml:space="preserve"> the project </w:t>
      </w:r>
      <w:r w:rsidR="00104FD4">
        <w:rPr>
          <w:rFonts w:ascii="Times New Roman" w:hAnsi="Times New Roman" w:cs="Times New Roman"/>
          <w:sz w:val="24"/>
          <w:szCs w:val="24"/>
        </w:rPr>
        <w:t>within</w:t>
      </w:r>
      <w:r w:rsidR="00B84F7E">
        <w:rPr>
          <w:rFonts w:ascii="Times New Roman" w:hAnsi="Times New Roman" w:cs="Times New Roman"/>
          <w:sz w:val="24"/>
          <w:szCs w:val="24"/>
        </w:rPr>
        <w:t xml:space="preserve"> Bosnian </w:t>
      </w:r>
      <w:r w:rsidR="0037089A">
        <w:rPr>
          <w:rFonts w:ascii="Times New Roman" w:hAnsi="Times New Roman" w:cs="Times New Roman"/>
          <w:sz w:val="24"/>
          <w:szCs w:val="24"/>
        </w:rPr>
        <w:t>civil society</w:t>
      </w:r>
      <w:r w:rsidR="00E47C94">
        <w:rPr>
          <w:rFonts w:ascii="Times New Roman" w:hAnsi="Times New Roman" w:cs="Times New Roman"/>
          <w:sz w:val="24"/>
          <w:szCs w:val="24"/>
        </w:rPr>
        <w:t>.</w:t>
      </w:r>
      <w:r w:rsidR="0037089A">
        <w:rPr>
          <w:rFonts w:ascii="Times New Roman" w:hAnsi="Times New Roman" w:cs="Times New Roman"/>
          <w:sz w:val="24"/>
          <w:szCs w:val="24"/>
        </w:rPr>
        <w:t xml:space="preserve"> </w:t>
      </w:r>
      <w:r w:rsidR="00882242">
        <w:rPr>
          <w:rFonts w:ascii="Times New Roman" w:hAnsi="Times New Roman" w:cs="Times New Roman"/>
          <w:sz w:val="24"/>
          <w:szCs w:val="24"/>
        </w:rPr>
        <w:t>So, a</w:t>
      </w:r>
      <w:r w:rsidR="0084013C">
        <w:rPr>
          <w:rFonts w:ascii="Times New Roman" w:hAnsi="Times New Roman"/>
          <w:sz w:val="24"/>
        </w:rPr>
        <w:t xml:space="preserve">fter exploratory discussions with Bosnian political, religious and civil society </w:t>
      </w:r>
      <w:r w:rsidR="0084013C">
        <w:rPr>
          <w:rFonts w:ascii="Times New Roman" w:hAnsi="Times New Roman"/>
          <w:sz w:val="24"/>
        </w:rPr>
        <w:lastRenderedPageBreak/>
        <w:t xml:space="preserve">representatives in 1997, USIP </w:t>
      </w:r>
      <w:r w:rsidR="00675C6B">
        <w:rPr>
          <w:rFonts w:ascii="Times New Roman" w:hAnsi="Times New Roman"/>
          <w:sz w:val="24"/>
        </w:rPr>
        <w:t xml:space="preserve">funded </w:t>
      </w:r>
      <w:r w:rsidR="0084013C">
        <w:rPr>
          <w:rFonts w:ascii="Times New Roman" w:hAnsi="Times New Roman"/>
          <w:sz w:val="24"/>
        </w:rPr>
        <w:t>Bosnia’s largest NGOs</w:t>
      </w:r>
      <w:r w:rsidR="001557A6">
        <w:rPr>
          <w:rFonts w:ascii="Times New Roman" w:hAnsi="Times New Roman"/>
          <w:sz w:val="24"/>
        </w:rPr>
        <w:t xml:space="preserve"> to </w:t>
      </w:r>
      <w:r w:rsidR="00675C6B">
        <w:rPr>
          <w:rFonts w:ascii="Times New Roman" w:hAnsi="Times New Roman"/>
          <w:sz w:val="24"/>
        </w:rPr>
        <w:t>promote</w:t>
      </w:r>
      <w:r w:rsidR="0084013C">
        <w:rPr>
          <w:rFonts w:ascii="Times New Roman" w:hAnsi="Times New Roman"/>
          <w:sz w:val="24"/>
        </w:rPr>
        <w:t xml:space="preserve"> the initiative.</w:t>
      </w:r>
      <w:r w:rsidR="0084013C">
        <w:rPr>
          <w:rStyle w:val="FootnoteReference"/>
          <w:rFonts w:ascii="Times New Roman" w:hAnsi="Times New Roman"/>
          <w:sz w:val="24"/>
        </w:rPr>
        <w:footnoteReference w:id="29"/>
      </w:r>
      <w:r w:rsidR="00742275">
        <w:rPr>
          <w:rFonts w:ascii="Times New Roman" w:hAnsi="Times New Roman"/>
          <w:sz w:val="24"/>
        </w:rPr>
        <w:t xml:space="preserve"> </w:t>
      </w:r>
      <w:r w:rsidR="00B84F7E">
        <w:rPr>
          <w:rFonts w:ascii="Times New Roman" w:hAnsi="Times New Roman"/>
          <w:sz w:val="24"/>
        </w:rPr>
        <w:t>More quietly</w:t>
      </w:r>
      <w:r w:rsidR="00852930">
        <w:rPr>
          <w:rFonts w:ascii="Times New Roman" w:hAnsi="Times New Roman"/>
          <w:sz w:val="24"/>
        </w:rPr>
        <w:t xml:space="preserve">, USIP’s Neil Kritz and William Stuebner </w:t>
      </w:r>
      <w:r w:rsidR="00B84F7E">
        <w:rPr>
          <w:rFonts w:ascii="Times New Roman" w:hAnsi="Times New Roman"/>
          <w:sz w:val="24"/>
        </w:rPr>
        <w:t>met with representatives of</w:t>
      </w:r>
      <w:r w:rsidR="00852930">
        <w:rPr>
          <w:rFonts w:ascii="Times New Roman" w:hAnsi="Times New Roman"/>
          <w:sz w:val="24"/>
        </w:rPr>
        <w:t xml:space="preserve"> the ICTY and Bosnian political and religious leaders</w:t>
      </w:r>
      <w:r w:rsidR="00B84F7E">
        <w:rPr>
          <w:rFonts w:ascii="Times New Roman" w:hAnsi="Times New Roman"/>
          <w:sz w:val="24"/>
        </w:rPr>
        <w:t xml:space="preserve"> to </w:t>
      </w:r>
      <w:r w:rsidR="00104FD4">
        <w:rPr>
          <w:rFonts w:ascii="Times New Roman" w:hAnsi="Times New Roman"/>
          <w:sz w:val="24"/>
        </w:rPr>
        <w:t>gain their endorsement of</w:t>
      </w:r>
      <w:r w:rsidR="00B84F7E">
        <w:rPr>
          <w:rFonts w:ascii="Times New Roman" w:hAnsi="Times New Roman"/>
          <w:sz w:val="24"/>
        </w:rPr>
        <w:t xml:space="preserve"> the project</w:t>
      </w:r>
      <w:r w:rsidR="00852930">
        <w:rPr>
          <w:rFonts w:ascii="Times New Roman" w:hAnsi="Times New Roman"/>
          <w:sz w:val="24"/>
        </w:rPr>
        <w:t>.</w:t>
      </w:r>
      <w:r w:rsidR="00852930">
        <w:rPr>
          <w:rStyle w:val="FootnoteReference"/>
          <w:rFonts w:ascii="Times New Roman" w:hAnsi="Times New Roman"/>
          <w:sz w:val="24"/>
        </w:rPr>
        <w:footnoteReference w:id="30"/>
      </w:r>
      <w:r w:rsidR="00852930">
        <w:rPr>
          <w:rFonts w:ascii="Times New Roman" w:hAnsi="Times New Roman"/>
          <w:sz w:val="24"/>
        </w:rPr>
        <w:t xml:space="preserve"> </w:t>
      </w:r>
      <w:r w:rsidR="00B84F7E">
        <w:rPr>
          <w:rFonts w:ascii="Times New Roman" w:hAnsi="Times New Roman"/>
          <w:sz w:val="24"/>
        </w:rPr>
        <w:t>I</w:t>
      </w:r>
      <w:r w:rsidR="0084013C">
        <w:rPr>
          <w:rFonts w:ascii="Times New Roman" w:hAnsi="Times New Roman"/>
          <w:sz w:val="24"/>
        </w:rPr>
        <w:t xml:space="preserve">n February 2000, over one hundred Bosnian and regional NGOs </w:t>
      </w:r>
      <w:r w:rsidR="00B84F7E">
        <w:rPr>
          <w:rFonts w:ascii="Times New Roman" w:hAnsi="Times New Roman"/>
          <w:sz w:val="24"/>
        </w:rPr>
        <w:t>partic</w:t>
      </w:r>
      <w:r w:rsidR="008D7316">
        <w:rPr>
          <w:rFonts w:ascii="Times New Roman" w:hAnsi="Times New Roman"/>
          <w:sz w:val="24"/>
        </w:rPr>
        <w:t>i</w:t>
      </w:r>
      <w:r w:rsidR="00B84F7E">
        <w:rPr>
          <w:rFonts w:ascii="Times New Roman" w:hAnsi="Times New Roman"/>
          <w:sz w:val="24"/>
        </w:rPr>
        <w:t>pated at a round table in Sarajevo</w:t>
      </w:r>
      <w:r w:rsidR="0084013C">
        <w:rPr>
          <w:rFonts w:ascii="Times New Roman" w:hAnsi="Times New Roman"/>
          <w:sz w:val="24"/>
        </w:rPr>
        <w:t xml:space="preserve">, along with </w:t>
      </w:r>
      <w:r w:rsidR="00EA7B3F">
        <w:rPr>
          <w:rFonts w:ascii="Times New Roman" w:hAnsi="Times New Roman"/>
          <w:sz w:val="24"/>
        </w:rPr>
        <w:t xml:space="preserve">representatives of the ICTY and the United Nations and </w:t>
      </w:r>
      <w:r w:rsidR="0084013C">
        <w:rPr>
          <w:rFonts w:ascii="Times New Roman" w:hAnsi="Times New Roman"/>
          <w:sz w:val="24"/>
        </w:rPr>
        <w:t>distinguished international guests (</w:t>
      </w:r>
      <w:r w:rsidR="001557A6">
        <w:rPr>
          <w:rFonts w:ascii="Times New Roman" w:hAnsi="Times New Roman"/>
          <w:sz w:val="24"/>
        </w:rPr>
        <w:t xml:space="preserve">including </w:t>
      </w:r>
      <w:r w:rsidR="0084013C">
        <w:rPr>
          <w:rFonts w:ascii="Times New Roman" w:hAnsi="Times New Roman"/>
          <w:sz w:val="24"/>
        </w:rPr>
        <w:t xml:space="preserve">Richard Goldstone, Paul Van Zyl and Alex Boraine from South </w:t>
      </w:r>
      <w:r w:rsidR="00EA7B3F">
        <w:rPr>
          <w:rFonts w:ascii="Times New Roman" w:hAnsi="Times New Roman"/>
          <w:sz w:val="24"/>
        </w:rPr>
        <w:t>Africa)</w:t>
      </w:r>
      <w:r w:rsidR="0084013C">
        <w:rPr>
          <w:rFonts w:ascii="Times New Roman" w:hAnsi="Times New Roman"/>
          <w:sz w:val="24"/>
        </w:rPr>
        <w:t>.</w:t>
      </w:r>
      <w:r w:rsidR="0084013C">
        <w:rPr>
          <w:rStyle w:val="FootnoteReference"/>
          <w:rFonts w:ascii="Times New Roman" w:hAnsi="Times New Roman"/>
          <w:sz w:val="24"/>
        </w:rPr>
        <w:footnoteReference w:id="31"/>
      </w:r>
      <w:r w:rsidR="0084013C">
        <w:rPr>
          <w:rFonts w:ascii="Times New Roman" w:hAnsi="Times New Roman"/>
          <w:sz w:val="24"/>
        </w:rPr>
        <w:t xml:space="preserve"> </w:t>
      </w:r>
      <w:r w:rsidR="00FF1A13">
        <w:rPr>
          <w:rFonts w:ascii="Times New Roman" w:hAnsi="Times New Roman"/>
          <w:sz w:val="24"/>
        </w:rPr>
        <w:t>The Bosnian NGOs</w:t>
      </w:r>
      <w:r w:rsidR="0084013C">
        <w:rPr>
          <w:rFonts w:ascii="Times New Roman" w:hAnsi="Times New Roman"/>
          <w:sz w:val="24"/>
        </w:rPr>
        <w:t xml:space="preserve"> </w:t>
      </w:r>
      <w:r w:rsidR="00104FD4">
        <w:rPr>
          <w:rFonts w:ascii="Times New Roman" w:hAnsi="Times New Roman" w:cs="Times New Roman"/>
          <w:sz w:val="24"/>
          <w:szCs w:val="24"/>
        </w:rPr>
        <w:t>signed a petition endorsing the TRC, leading to the creation of a ‘National Association for the Establishment of a Truth and Reconciliation Commission’</w:t>
      </w:r>
      <w:r w:rsidR="0084013C">
        <w:rPr>
          <w:rFonts w:ascii="Times New Roman" w:hAnsi="Times New Roman"/>
          <w:sz w:val="24"/>
        </w:rPr>
        <w:t>.</w:t>
      </w:r>
      <w:r w:rsidR="0084013C">
        <w:rPr>
          <w:rStyle w:val="FootnoteReference"/>
          <w:rFonts w:ascii="Times New Roman" w:hAnsi="Times New Roman"/>
          <w:sz w:val="24"/>
        </w:rPr>
        <w:footnoteReference w:id="32"/>
      </w:r>
      <w:r w:rsidR="0084013C">
        <w:rPr>
          <w:rFonts w:ascii="Times New Roman" w:hAnsi="Times New Roman"/>
          <w:sz w:val="24"/>
        </w:rPr>
        <w:t xml:space="preserve"> </w:t>
      </w:r>
      <w:r w:rsidR="00206007">
        <w:rPr>
          <w:rFonts w:ascii="Times New Roman" w:hAnsi="Times New Roman"/>
          <w:sz w:val="24"/>
        </w:rPr>
        <w:t>The civil society</w:t>
      </w:r>
      <w:r w:rsidR="0084013C">
        <w:rPr>
          <w:rFonts w:ascii="Times New Roman" w:hAnsi="Times New Roman"/>
          <w:sz w:val="24"/>
        </w:rPr>
        <w:t xml:space="preserve"> phase </w:t>
      </w:r>
      <w:r w:rsidR="00852930">
        <w:rPr>
          <w:rFonts w:ascii="Times New Roman" w:hAnsi="Times New Roman"/>
          <w:sz w:val="24"/>
        </w:rPr>
        <w:t xml:space="preserve">of the project </w:t>
      </w:r>
      <w:r w:rsidR="0084013C">
        <w:rPr>
          <w:rFonts w:ascii="Times New Roman" w:hAnsi="Times New Roman"/>
          <w:sz w:val="24"/>
        </w:rPr>
        <w:t>ended in 2001</w:t>
      </w:r>
      <w:r w:rsidR="00206007">
        <w:rPr>
          <w:rFonts w:ascii="Times New Roman" w:hAnsi="Times New Roman"/>
          <w:sz w:val="24"/>
        </w:rPr>
        <w:t>, when this Association presented</w:t>
      </w:r>
      <w:r w:rsidR="0084013C">
        <w:rPr>
          <w:rFonts w:ascii="Times New Roman" w:hAnsi="Times New Roman"/>
          <w:sz w:val="24"/>
        </w:rPr>
        <w:t xml:space="preserve"> a draft law for a national TRC to Bosnia’s minister for human rights and the</w:t>
      </w:r>
      <w:r w:rsidR="003025F8">
        <w:rPr>
          <w:rFonts w:ascii="Times New Roman" w:hAnsi="Times New Roman"/>
          <w:sz w:val="24"/>
        </w:rPr>
        <w:t xml:space="preserve"> </w:t>
      </w:r>
      <w:r w:rsidR="004B192B">
        <w:rPr>
          <w:rFonts w:ascii="Times New Roman" w:hAnsi="Times New Roman"/>
          <w:sz w:val="24"/>
        </w:rPr>
        <w:t xml:space="preserve">country’s </w:t>
      </w:r>
      <w:r w:rsidR="00826AA1">
        <w:rPr>
          <w:rFonts w:ascii="Times New Roman" w:hAnsi="Times New Roman"/>
          <w:sz w:val="24"/>
        </w:rPr>
        <w:t>collective presidency</w:t>
      </w:r>
      <w:r w:rsidR="0084013C">
        <w:rPr>
          <w:rFonts w:ascii="Times New Roman" w:hAnsi="Times New Roman"/>
          <w:sz w:val="24"/>
        </w:rPr>
        <w:t>.</w:t>
      </w:r>
      <w:r w:rsidR="0084013C">
        <w:rPr>
          <w:rStyle w:val="FootnoteReference"/>
          <w:rFonts w:ascii="Times New Roman" w:hAnsi="Times New Roman"/>
          <w:sz w:val="24"/>
        </w:rPr>
        <w:footnoteReference w:id="33"/>
      </w:r>
    </w:p>
    <w:p w:rsidR="00FF2CCD" w:rsidRDefault="00637972" w:rsidP="0061196E">
      <w:pPr>
        <w:spacing w:before="240" w:after="0" w:line="360" w:lineRule="auto"/>
        <w:ind w:firstLine="720"/>
        <w:rPr>
          <w:rFonts w:ascii="Times New Roman" w:hAnsi="Times New Roman"/>
          <w:sz w:val="24"/>
        </w:rPr>
      </w:pPr>
      <w:r>
        <w:rPr>
          <w:rFonts w:ascii="Times New Roman" w:hAnsi="Times New Roman"/>
          <w:sz w:val="24"/>
        </w:rPr>
        <w:t>The statute of the Bosnian TRC</w:t>
      </w:r>
      <w:r w:rsidR="00826AA1">
        <w:rPr>
          <w:rFonts w:ascii="Times New Roman" w:hAnsi="Times New Roman"/>
          <w:sz w:val="24"/>
        </w:rPr>
        <w:t xml:space="preserve"> was</w:t>
      </w:r>
      <w:r>
        <w:rPr>
          <w:rFonts w:ascii="Times New Roman" w:hAnsi="Times New Roman"/>
          <w:sz w:val="24"/>
        </w:rPr>
        <w:t xml:space="preserve"> drafted by </w:t>
      </w:r>
      <w:r w:rsidR="007A2ABB">
        <w:rPr>
          <w:rFonts w:ascii="Times New Roman" w:hAnsi="Times New Roman"/>
          <w:sz w:val="24"/>
        </w:rPr>
        <w:t xml:space="preserve">USIP’s </w:t>
      </w:r>
      <w:r>
        <w:rPr>
          <w:rFonts w:ascii="Times New Roman" w:hAnsi="Times New Roman"/>
          <w:sz w:val="24"/>
        </w:rPr>
        <w:t>Neil Kritz</w:t>
      </w:r>
      <w:r w:rsidR="00826AA1">
        <w:rPr>
          <w:rFonts w:ascii="Times New Roman" w:hAnsi="Times New Roman"/>
          <w:sz w:val="24"/>
        </w:rPr>
        <w:t>, while the draft law was co-authored by Kritz and</w:t>
      </w:r>
      <w:r w:rsidR="004C0B69">
        <w:rPr>
          <w:rFonts w:ascii="Times New Roman" w:hAnsi="Times New Roman"/>
          <w:sz w:val="24"/>
        </w:rPr>
        <w:t xml:space="preserve"> Jakob Finci</w:t>
      </w:r>
      <w:r>
        <w:rPr>
          <w:rFonts w:ascii="Times New Roman" w:hAnsi="Times New Roman"/>
          <w:sz w:val="24"/>
        </w:rPr>
        <w:t>.</w:t>
      </w:r>
      <w:r w:rsidR="00137935" w:rsidRPr="00474CD2">
        <w:rPr>
          <w:rStyle w:val="FootnoteReference"/>
          <w:rFonts w:ascii="Times New Roman" w:hAnsi="Times New Roman"/>
          <w:sz w:val="24"/>
        </w:rPr>
        <w:footnoteReference w:id="34"/>
      </w:r>
      <w:r w:rsidR="004C0B69">
        <w:rPr>
          <w:rFonts w:ascii="Times New Roman" w:hAnsi="Times New Roman"/>
          <w:sz w:val="24"/>
        </w:rPr>
        <w:t xml:space="preserve"> </w:t>
      </w:r>
      <w:r w:rsidR="00826AA1">
        <w:rPr>
          <w:rFonts w:ascii="Times New Roman" w:hAnsi="Times New Roman"/>
          <w:sz w:val="24"/>
        </w:rPr>
        <w:t>The draft law defined t</w:t>
      </w:r>
      <w:r w:rsidR="000F65E3">
        <w:rPr>
          <w:rFonts w:ascii="Times New Roman" w:hAnsi="Times New Roman"/>
          <w:sz w:val="24"/>
        </w:rPr>
        <w:t xml:space="preserve">he Bosnian TRC’s </w:t>
      </w:r>
      <w:r w:rsidR="009D2664">
        <w:rPr>
          <w:rFonts w:ascii="Times New Roman" w:hAnsi="Times New Roman"/>
          <w:sz w:val="24"/>
        </w:rPr>
        <w:t xml:space="preserve">five-year </w:t>
      </w:r>
      <w:r w:rsidR="000F65E3">
        <w:rPr>
          <w:rFonts w:ascii="Times New Roman" w:hAnsi="Times New Roman"/>
          <w:sz w:val="24"/>
        </w:rPr>
        <w:t xml:space="preserve">mandate </w:t>
      </w:r>
      <w:r w:rsidR="00826AA1">
        <w:rPr>
          <w:rFonts w:ascii="Times New Roman" w:hAnsi="Times New Roman"/>
          <w:sz w:val="24"/>
        </w:rPr>
        <w:t xml:space="preserve">as being </w:t>
      </w:r>
      <w:r w:rsidR="000F65E3">
        <w:rPr>
          <w:rFonts w:ascii="Times New Roman" w:hAnsi="Times New Roman"/>
          <w:sz w:val="24"/>
        </w:rPr>
        <w:t xml:space="preserve">to examine </w:t>
      </w:r>
      <w:r w:rsidR="004E5296">
        <w:rPr>
          <w:rFonts w:ascii="Times New Roman" w:hAnsi="Times New Roman"/>
          <w:sz w:val="24"/>
        </w:rPr>
        <w:t>events</w:t>
      </w:r>
      <w:r w:rsidR="009531FC">
        <w:rPr>
          <w:rFonts w:ascii="Times New Roman" w:hAnsi="Times New Roman"/>
          <w:sz w:val="24"/>
        </w:rPr>
        <w:t xml:space="preserve"> </w:t>
      </w:r>
      <w:r w:rsidR="004E5296">
        <w:rPr>
          <w:rFonts w:ascii="Times New Roman" w:hAnsi="Times New Roman"/>
          <w:sz w:val="24"/>
        </w:rPr>
        <w:t xml:space="preserve"> in Bosnia and the former Yugoslavia between 19 November 1990 </w:t>
      </w:r>
      <w:r w:rsidR="000E5172">
        <w:rPr>
          <w:rFonts w:ascii="Times New Roman" w:hAnsi="Times New Roman"/>
          <w:sz w:val="24"/>
        </w:rPr>
        <w:t xml:space="preserve">(Bosnia’s first multi-party election) </w:t>
      </w:r>
      <w:r w:rsidR="004E5296">
        <w:rPr>
          <w:rFonts w:ascii="Times New Roman" w:hAnsi="Times New Roman"/>
          <w:sz w:val="24"/>
        </w:rPr>
        <w:t xml:space="preserve">and 14 December 1995 (the conclusion of the Dayton Peace Agreement) </w:t>
      </w:r>
      <w:r w:rsidR="009531FC">
        <w:rPr>
          <w:rFonts w:ascii="Times New Roman" w:hAnsi="Times New Roman"/>
          <w:sz w:val="24"/>
        </w:rPr>
        <w:t>to shed light on the ‘</w:t>
      </w:r>
      <w:r w:rsidR="004E5296">
        <w:rPr>
          <w:rFonts w:ascii="Times New Roman" w:hAnsi="Times New Roman"/>
          <w:sz w:val="24"/>
        </w:rPr>
        <w:t>nature, causes and extent of human rights violations committed’</w:t>
      </w:r>
      <w:r w:rsidR="00206007">
        <w:rPr>
          <w:rFonts w:ascii="Times New Roman" w:hAnsi="Times New Roman"/>
          <w:sz w:val="24"/>
        </w:rPr>
        <w:t>.</w:t>
      </w:r>
      <w:r w:rsidR="004E5296">
        <w:rPr>
          <w:rStyle w:val="FootnoteReference"/>
          <w:rFonts w:ascii="Times New Roman" w:hAnsi="Times New Roman"/>
          <w:sz w:val="24"/>
        </w:rPr>
        <w:footnoteReference w:id="35"/>
      </w:r>
      <w:r w:rsidR="00206007">
        <w:rPr>
          <w:rFonts w:ascii="Times New Roman" w:hAnsi="Times New Roman"/>
          <w:sz w:val="24"/>
        </w:rPr>
        <w:t xml:space="preserve"> </w:t>
      </w:r>
      <w:r w:rsidR="004E5296">
        <w:rPr>
          <w:rFonts w:ascii="Times New Roman" w:hAnsi="Times New Roman"/>
          <w:sz w:val="24"/>
        </w:rPr>
        <w:t xml:space="preserve">Its investigation was to include not just the ‘circumstances that produced ethnic mistrust’ and the ‘political and moral responsibility of individuals, organizations and institutions for abuse of human rights’, but also ‘whether activities or inactivity of actors outside of Bosnia and Herzegovina contributed to the violations’. </w:t>
      </w:r>
      <w:r w:rsidR="009531FC">
        <w:rPr>
          <w:rFonts w:ascii="Times New Roman" w:hAnsi="Times New Roman"/>
          <w:sz w:val="24"/>
        </w:rPr>
        <w:t>The TRC</w:t>
      </w:r>
      <w:r w:rsidR="004E5296">
        <w:rPr>
          <w:rFonts w:ascii="Times New Roman" w:hAnsi="Times New Roman"/>
          <w:sz w:val="24"/>
        </w:rPr>
        <w:t xml:space="preserve">’s mandate also </w:t>
      </w:r>
      <w:r w:rsidR="00A142C0">
        <w:rPr>
          <w:rFonts w:ascii="Times New Roman" w:hAnsi="Times New Roman"/>
          <w:sz w:val="24"/>
        </w:rPr>
        <w:t>encompassed</w:t>
      </w:r>
      <w:r w:rsidR="009531FC">
        <w:rPr>
          <w:rFonts w:ascii="Times New Roman" w:hAnsi="Times New Roman"/>
          <w:sz w:val="24"/>
        </w:rPr>
        <w:t xml:space="preserve"> fact-finding </w:t>
      </w:r>
      <w:r w:rsidR="00041189">
        <w:rPr>
          <w:rFonts w:ascii="Times New Roman" w:hAnsi="Times New Roman"/>
          <w:sz w:val="24"/>
        </w:rPr>
        <w:t>about</w:t>
      </w:r>
      <w:r w:rsidR="009531FC">
        <w:rPr>
          <w:rFonts w:ascii="Times New Roman" w:hAnsi="Times New Roman"/>
          <w:sz w:val="24"/>
        </w:rPr>
        <w:t xml:space="preserve"> the ‘number of people who died, who were killed, wounded, missing, tortured, raped, imprisoned without a just cause and forcefully displaced; [the] number of damaged and destroyed religious objects and similar apparent attacks at different religion; [an</w:t>
      </w:r>
      <w:r w:rsidR="0061196E">
        <w:rPr>
          <w:rFonts w:ascii="Times New Roman" w:hAnsi="Times New Roman"/>
          <w:sz w:val="24"/>
        </w:rPr>
        <w:t>d the] location of mass graves’.</w:t>
      </w:r>
      <w:r w:rsidR="009531FC">
        <w:rPr>
          <w:rFonts w:ascii="Times New Roman" w:hAnsi="Times New Roman"/>
          <w:sz w:val="24"/>
        </w:rPr>
        <w:t xml:space="preserve"> Finally</w:t>
      </w:r>
      <w:r w:rsidR="0061196E">
        <w:rPr>
          <w:rFonts w:ascii="Times New Roman" w:hAnsi="Times New Roman"/>
          <w:sz w:val="24"/>
        </w:rPr>
        <w:t>,</w:t>
      </w:r>
      <w:r w:rsidR="009531FC">
        <w:rPr>
          <w:rFonts w:ascii="Times New Roman" w:hAnsi="Times New Roman"/>
          <w:sz w:val="24"/>
        </w:rPr>
        <w:t xml:space="preserve"> </w:t>
      </w:r>
      <w:r w:rsidR="00041189">
        <w:rPr>
          <w:rFonts w:ascii="Times New Roman" w:hAnsi="Times New Roman"/>
          <w:sz w:val="24"/>
        </w:rPr>
        <w:t xml:space="preserve">as noted earlier, </w:t>
      </w:r>
      <w:r w:rsidR="009531FC">
        <w:rPr>
          <w:rFonts w:ascii="Times New Roman" w:hAnsi="Times New Roman"/>
          <w:sz w:val="24"/>
        </w:rPr>
        <w:t>the TRC was to document the ‘e</w:t>
      </w:r>
      <w:r w:rsidR="000F65E3">
        <w:rPr>
          <w:rFonts w:ascii="Times New Roman" w:hAnsi="Times New Roman"/>
          <w:sz w:val="24"/>
        </w:rPr>
        <w:t xml:space="preserve">xistence of acts of individuals who refused to take </w:t>
      </w:r>
      <w:r w:rsidR="000F65E3">
        <w:rPr>
          <w:rFonts w:ascii="Times New Roman" w:hAnsi="Times New Roman"/>
          <w:sz w:val="24"/>
        </w:rPr>
        <w:lastRenderedPageBreak/>
        <w:t xml:space="preserve">part in the oppression and abuse of their neighbours thus preserving, </w:t>
      </w:r>
      <w:r w:rsidR="00006BC2">
        <w:rPr>
          <w:rFonts w:ascii="Times New Roman" w:hAnsi="Times New Roman"/>
          <w:sz w:val="24"/>
        </w:rPr>
        <w:t>at high risk, human dignity by trying to protect their neighbours of different ethnic and religious groups from abuse</w:t>
      </w:r>
      <w:r w:rsidR="009531FC">
        <w:rPr>
          <w:rFonts w:ascii="Times New Roman" w:hAnsi="Times New Roman"/>
          <w:sz w:val="24"/>
        </w:rPr>
        <w:t>’</w:t>
      </w:r>
      <w:r w:rsidR="00006BC2">
        <w:rPr>
          <w:rFonts w:ascii="Times New Roman" w:hAnsi="Times New Roman"/>
          <w:sz w:val="24"/>
        </w:rPr>
        <w:t>.</w:t>
      </w:r>
      <w:r w:rsidR="00006BC2">
        <w:rPr>
          <w:rStyle w:val="FootnoteReference"/>
          <w:rFonts w:ascii="Times New Roman" w:hAnsi="Times New Roman"/>
          <w:sz w:val="24"/>
        </w:rPr>
        <w:footnoteReference w:id="36"/>
      </w:r>
      <w:r w:rsidR="0061196E">
        <w:rPr>
          <w:rFonts w:ascii="Times New Roman" w:hAnsi="Times New Roman"/>
          <w:sz w:val="24"/>
        </w:rPr>
        <w:t xml:space="preserve"> </w:t>
      </w:r>
      <w:r w:rsidR="00DF3274">
        <w:rPr>
          <w:rFonts w:ascii="Times New Roman" w:hAnsi="Times New Roman"/>
          <w:sz w:val="24"/>
        </w:rPr>
        <w:t xml:space="preserve">This last point, to </w:t>
      </w:r>
      <w:r w:rsidR="00ED2DC2">
        <w:rPr>
          <w:rFonts w:ascii="Times New Roman" w:hAnsi="Times New Roman"/>
          <w:sz w:val="24"/>
        </w:rPr>
        <w:t>include an account of</w:t>
      </w:r>
      <w:r w:rsidR="00BA1565">
        <w:rPr>
          <w:rFonts w:ascii="Times New Roman" w:hAnsi="Times New Roman"/>
          <w:sz w:val="24"/>
        </w:rPr>
        <w:t xml:space="preserve"> the acts of ‘good people’ </w:t>
      </w:r>
      <w:r w:rsidR="00ED2DC2">
        <w:rPr>
          <w:rFonts w:ascii="Times New Roman" w:hAnsi="Times New Roman"/>
          <w:sz w:val="24"/>
        </w:rPr>
        <w:t xml:space="preserve">was </w:t>
      </w:r>
      <w:r w:rsidR="009531FC">
        <w:rPr>
          <w:rFonts w:ascii="Times New Roman" w:hAnsi="Times New Roman"/>
          <w:sz w:val="24"/>
        </w:rPr>
        <w:t>a self-conscious</w:t>
      </w:r>
      <w:r w:rsidR="00DF3274">
        <w:rPr>
          <w:rFonts w:ascii="Times New Roman" w:hAnsi="Times New Roman"/>
          <w:sz w:val="24"/>
        </w:rPr>
        <w:t xml:space="preserve"> innovation of the Bosnian TRC. </w:t>
      </w:r>
      <w:r w:rsidR="00ED2DC2">
        <w:rPr>
          <w:rFonts w:ascii="Times New Roman" w:hAnsi="Times New Roman"/>
          <w:sz w:val="24"/>
        </w:rPr>
        <w:t xml:space="preserve">It would distinguish </w:t>
      </w:r>
      <w:r w:rsidR="0061196E">
        <w:rPr>
          <w:rFonts w:ascii="Times New Roman" w:hAnsi="Times New Roman"/>
          <w:sz w:val="24"/>
        </w:rPr>
        <w:t>this</w:t>
      </w:r>
      <w:r w:rsidR="00ED2DC2">
        <w:rPr>
          <w:rFonts w:ascii="Times New Roman" w:hAnsi="Times New Roman"/>
          <w:sz w:val="24"/>
        </w:rPr>
        <w:t xml:space="preserve"> commission from other such bodies in the world, </w:t>
      </w:r>
      <w:r w:rsidR="00BA1565">
        <w:rPr>
          <w:rFonts w:ascii="Times New Roman" w:hAnsi="Times New Roman"/>
          <w:sz w:val="24"/>
        </w:rPr>
        <w:t xml:space="preserve">while at the same time </w:t>
      </w:r>
      <w:r w:rsidR="00041189">
        <w:rPr>
          <w:rFonts w:ascii="Times New Roman" w:hAnsi="Times New Roman"/>
          <w:sz w:val="24"/>
        </w:rPr>
        <w:t xml:space="preserve">helping </w:t>
      </w:r>
      <w:r w:rsidR="001C0D13">
        <w:rPr>
          <w:rFonts w:ascii="Times New Roman" w:hAnsi="Times New Roman"/>
          <w:sz w:val="24"/>
        </w:rPr>
        <w:t>‘</w:t>
      </w:r>
      <w:r w:rsidR="00041189">
        <w:rPr>
          <w:rFonts w:ascii="Times New Roman" w:hAnsi="Times New Roman"/>
          <w:sz w:val="24"/>
        </w:rPr>
        <w:t xml:space="preserve">break down collective blame’ and </w:t>
      </w:r>
      <w:r w:rsidR="00ED2DC2">
        <w:rPr>
          <w:rFonts w:ascii="Times New Roman" w:hAnsi="Times New Roman"/>
          <w:sz w:val="24"/>
        </w:rPr>
        <w:t xml:space="preserve">fostering </w:t>
      </w:r>
      <w:r w:rsidR="0041451F">
        <w:rPr>
          <w:rFonts w:ascii="Times New Roman" w:hAnsi="Times New Roman"/>
          <w:sz w:val="24"/>
        </w:rPr>
        <w:t xml:space="preserve">national </w:t>
      </w:r>
      <w:r w:rsidR="00ED2DC2">
        <w:rPr>
          <w:rFonts w:ascii="Times New Roman" w:hAnsi="Times New Roman"/>
          <w:sz w:val="24"/>
        </w:rPr>
        <w:t>reconciliation</w:t>
      </w:r>
      <w:r w:rsidR="0061196E">
        <w:rPr>
          <w:rFonts w:ascii="Times New Roman" w:hAnsi="Times New Roman"/>
          <w:sz w:val="24"/>
        </w:rPr>
        <w:t>.</w:t>
      </w:r>
      <w:r w:rsidR="00041189">
        <w:rPr>
          <w:rStyle w:val="FootnoteReference"/>
          <w:rFonts w:ascii="Times New Roman" w:hAnsi="Times New Roman"/>
          <w:sz w:val="24"/>
        </w:rPr>
        <w:footnoteReference w:id="37"/>
      </w:r>
    </w:p>
    <w:p w:rsidR="0041451F" w:rsidRDefault="00041189" w:rsidP="0041451F">
      <w:pPr>
        <w:spacing w:before="240" w:after="0" w:line="360" w:lineRule="auto"/>
        <w:ind w:firstLine="720"/>
        <w:rPr>
          <w:rFonts w:ascii="Times New Roman" w:hAnsi="Times New Roman"/>
          <w:sz w:val="24"/>
        </w:rPr>
      </w:pPr>
      <w:r>
        <w:rPr>
          <w:rFonts w:ascii="Times New Roman" w:hAnsi="Times New Roman"/>
          <w:sz w:val="24"/>
        </w:rPr>
        <w:t xml:space="preserve">Importantly, the draft law and statute </w:t>
      </w:r>
      <w:r w:rsidR="00483C47">
        <w:rPr>
          <w:rFonts w:ascii="Times New Roman" w:hAnsi="Times New Roman"/>
          <w:sz w:val="24"/>
        </w:rPr>
        <w:t>sought</w:t>
      </w:r>
      <w:r>
        <w:rPr>
          <w:rFonts w:ascii="Times New Roman" w:hAnsi="Times New Roman"/>
          <w:sz w:val="24"/>
        </w:rPr>
        <w:t xml:space="preserve"> to define the role of the TRC in regard to the ICTY.</w:t>
      </w:r>
      <w:r w:rsidR="00ED2DC2">
        <w:rPr>
          <w:rFonts w:ascii="Times New Roman" w:hAnsi="Times New Roman"/>
          <w:sz w:val="24"/>
        </w:rPr>
        <w:t xml:space="preserve"> </w:t>
      </w:r>
      <w:r w:rsidR="0041451F">
        <w:rPr>
          <w:rFonts w:ascii="Times New Roman" w:hAnsi="Times New Roman"/>
          <w:sz w:val="24"/>
        </w:rPr>
        <w:t xml:space="preserve">They both stipulated that the TRC would cooperate </w:t>
      </w:r>
      <w:r w:rsidR="00483C47">
        <w:rPr>
          <w:rFonts w:ascii="Times New Roman" w:hAnsi="Times New Roman"/>
          <w:sz w:val="24"/>
        </w:rPr>
        <w:t xml:space="preserve">and maintain regular contact </w:t>
      </w:r>
      <w:r w:rsidR="0041451F">
        <w:rPr>
          <w:rFonts w:ascii="Times New Roman" w:hAnsi="Times New Roman"/>
          <w:sz w:val="24"/>
        </w:rPr>
        <w:t>with the ICTY, including providing the court with any information or documentation requested. Above all, these documents noted:</w:t>
      </w:r>
    </w:p>
    <w:p w:rsidR="0041451F" w:rsidRDefault="0041451F" w:rsidP="0041451F">
      <w:pPr>
        <w:spacing w:before="240" w:after="0"/>
        <w:ind w:left="720"/>
        <w:rPr>
          <w:rFonts w:ascii="Times New Roman" w:hAnsi="Times New Roman"/>
          <w:sz w:val="24"/>
        </w:rPr>
      </w:pPr>
      <w:r>
        <w:rPr>
          <w:rFonts w:ascii="Times New Roman" w:hAnsi="Times New Roman"/>
          <w:sz w:val="24"/>
        </w:rPr>
        <w:t>The function of the TRC is revelation of truth, it is not a judiciary body. It is to complement the juridi</w:t>
      </w:r>
      <w:r w:rsidR="00EF47A0">
        <w:rPr>
          <w:rFonts w:ascii="Times New Roman" w:hAnsi="Times New Roman"/>
          <w:sz w:val="24"/>
        </w:rPr>
        <w:t>cal processes undertak</w:t>
      </w:r>
      <w:r>
        <w:rPr>
          <w:rFonts w:ascii="Times New Roman" w:hAnsi="Times New Roman"/>
          <w:sz w:val="24"/>
        </w:rPr>
        <w:t xml:space="preserve">en or those </w:t>
      </w:r>
      <w:r w:rsidR="00EF47A0">
        <w:rPr>
          <w:rFonts w:ascii="Times New Roman" w:hAnsi="Times New Roman"/>
          <w:sz w:val="24"/>
        </w:rPr>
        <w:t xml:space="preserve">that </w:t>
      </w:r>
      <w:r>
        <w:rPr>
          <w:rFonts w:ascii="Times New Roman" w:hAnsi="Times New Roman"/>
          <w:sz w:val="24"/>
        </w:rPr>
        <w:t>will be unde</w:t>
      </w:r>
      <w:r w:rsidR="008D7316">
        <w:rPr>
          <w:rFonts w:ascii="Times New Roman" w:hAnsi="Times New Roman"/>
          <w:sz w:val="24"/>
        </w:rPr>
        <w:t>r</w:t>
      </w:r>
      <w:r>
        <w:rPr>
          <w:rFonts w:ascii="Times New Roman" w:hAnsi="Times New Roman"/>
          <w:sz w:val="24"/>
        </w:rPr>
        <w:t xml:space="preserve">taken and not to interfere with them. Since the primary role of the ICTY is establishment of criminal accountability of individuals, the </w:t>
      </w:r>
      <w:r w:rsidRPr="00EF47A0">
        <w:rPr>
          <w:rFonts w:ascii="Times New Roman" w:hAnsi="Times New Roman"/>
          <w:sz w:val="24"/>
          <w:u w:val="single"/>
        </w:rPr>
        <w:t>TRC will not grant amnesties</w:t>
      </w:r>
      <w:r>
        <w:rPr>
          <w:rFonts w:ascii="Times New Roman" w:hAnsi="Times New Roman"/>
          <w:sz w:val="24"/>
        </w:rPr>
        <w:t xml:space="preserve"> nor carry out investigations for the purpose criminal prosecution and the final report of the TRC will not determine the criminal responsibility of individuals.</w:t>
      </w:r>
      <w:r>
        <w:rPr>
          <w:rStyle w:val="FootnoteReference"/>
          <w:rFonts w:ascii="Times New Roman" w:hAnsi="Times New Roman"/>
          <w:sz w:val="24"/>
        </w:rPr>
        <w:footnoteReference w:id="38"/>
      </w:r>
    </w:p>
    <w:p w:rsidR="007F5025" w:rsidRDefault="009D2664" w:rsidP="0041451F">
      <w:pPr>
        <w:spacing w:before="240" w:after="0" w:line="360" w:lineRule="auto"/>
        <w:rPr>
          <w:rFonts w:ascii="Times New Roman" w:hAnsi="Times New Roman"/>
          <w:sz w:val="24"/>
        </w:rPr>
      </w:pPr>
      <w:r>
        <w:rPr>
          <w:rFonts w:ascii="Times New Roman" w:hAnsi="Times New Roman"/>
          <w:sz w:val="24"/>
        </w:rPr>
        <w:t>T</w:t>
      </w:r>
      <w:r w:rsidR="00EF47A0">
        <w:rPr>
          <w:rFonts w:ascii="Times New Roman" w:hAnsi="Times New Roman"/>
          <w:sz w:val="24"/>
        </w:rPr>
        <w:t xml:space="preserve">he </w:t>
      </w:r>
      <w:r w:rsidR="0045412D">
        <w:rPr>
          <w:rFonts w:ascii="Times New Roman" w:hAnsi="Times New Roman"/>
          <w:sz w:val="24"/>
        </w:rPr>
        <w:t xml:space="preserve">Bosnian </w:t>
      </w:r>
      <w:r w:rsidR="00B6792E">
        <w:rPr>
          <w:rFonts w:ascii="Times New Roman" w:hAnsi="Times New Roman"/>
          <w:sz w:val="24"/>
        </w:rPr>
        <w:t>commission</w:t>
      </w:r>
      <w:r>
        <w:rPr>
          <w:rFonts w:ascii="Times New Roman" w:hAnsi="Times New Roman"/>
          <w:sz w:val="24"/>
        </w:rPr>
        <w:t xml:space="preserve">’s lack of amnesty powers </w:t>
      </w:r>
      <w:r w:rsidR="006C2CB1">
        <w:rPr>
          <w:rFonts w:ascii="Times New Roman" w:hAnsi="Times New Roman"/>
          <w:sz w:val="24"/>
        </w:rPr>
        <w:t>would have undoubtedly represented</w:t>
      </w:r>
      <w:r>
        <w:rPr>
          <w:rFonts w:ascii="Times New Roman" w:hAnsi="Times New Roman"/>
          <w:sz w:val="24"/>
        </w:rPr>
        <w:t xml:space="preserve"> a handicap in </w:t>
      </w:r>
      <w:r w:rsidR="00EF47A0">
        <w:rPr>
          <w:rFonts w:ascii="Times New Roman" w:hAnsi="Times New Roman"/>
          <w:sz w:val="24"/>
        </w:rPr>
        <w:t>achiev</w:t>
      </w:r>
      <w:r w:rsidR="00882242">
        <w:rPr>
          <w:rFonts w:ascii="Times New Roman" w:hAnsi="Times New Roman"/>
          <w:sz w:val="24"/>
        </w:rPr>
        <w:t>ing</w:t>
      </w:r>
      <w:r w:rsidR="00EF47A0">
        <w:rPr>
          <w:rFonts w:ascii="Times New Roman" w:hAnsi="Times New Roman"/>
          <w:sz w:val="24"/>
        </w:rPr>
        <w:t xml:space="preserve"> the cooperation </w:t>
      </w:r>
      <w:r>
        <w:rPr>
          <w:rFonts w:ascii="Times New Roman" w:hAnsi="Times New Roman"/>
          <w:sz w:val="24"/>
        </w:rPr>
        <w:t xml:space="preserve">and testimony </w:t>
      </w:r>
      <w:r w:rsidR="005E57E1">
        <w:rPr>
          <w:rFonts w:ascii="Times New Roman" w:hAnsi="Times New Roman"/>
          <w:sz w:val="24"/>
        </w:rPr>
        <w:t>from</w:t>
      </w:r>
      <w:r w:rsidR="00EF47A0">
        <w:rPr>
          <w:rFonts w:ascii="Times New Roman" w:hAnsi="Times New Roman"/>
          <w:sz w:val="24"/>
        </w:rPr>
        <w:t xml:space="preserve"> those institutions and individuals that had been implicated in the </w:t>
      </w:r>
      <w:r w:rsidR="000E5172">
        <w:rPr>
          <w:rFonts w:ascii="Times New Roman" w:hAnsi="Times New Roman"/>
          <w:sz w:val="24"/>
        </w:rPr>
        <w:t xml:space="preserve">war </w:t>
      </w:r>
      <w:r w:rsidR="00EF47A0">
        <w:rPr>
          <w:rFonts w:ascii="Times New Roman" w:hAnsi="Times New Roman"/>
          <w:sz w:val="24"/>
        </w:rPr>
        <w:t>crimes</w:t>
      </w:r>
      <w:r w:rsidR="0045412D">
        <w:rPr>
          <w:rFonts w:ascii="Times New Roman" w:hAnsi="Times New Roman"/>
          <w:sz w:val="24"/>
        </w:rPr>
        <w:t>.</w:t>
      </w:r>
      <w:r w:rsidR="00EF47A0">
        <w:rPr>
          <w:rStyle w:val="FootnoteReference"/>
          <w:rFonts w:ascii="Times New Roman" w:hAnsi="Times New Roman"/>
          <w:sz w:val="24"/>
        </w:rPr>
        <w:footnoteReference w:id="39"/>
      </w:r>
      <w:r>
        <w:rPr>
          <w:rFonts w:ascii="Times New Roman" w:hAnsi="Times New Roman"/>
          <w:sz w:val="24"/>
        </w:rPr>
        <w:t xml:space="preserve"> </w:t>
      </w:r>
      <w:r w:rsidR="00B6792E">
        <w:rPr>
          <w:rFonts w:ascii="Times New Roman" w:hAnsi="Times New Roman"/>
          <w:sz w:val="24"/>
        </w:rPr>
        <w:t>However, this wa</w:t>
      </w:r>
      <w:r w:rsidR="003F7DB7">
        <w:rPr>
          <w:rFonts w:ascii="Times New Roman" w:hAnsi="Times New Roman"/>
          <w:sz w:val="24"/>
        </w:rPr>
        <w:t>s clearly a necessary provision, recogni</w:t>
      </w:r>
      <w:r w:rsidR="00483C47">
        <w:rPr>
          <w:rFonts w:ascii="Times New Roman" w:hAnsi="Times New Roman"/>
          <w:sz w:val="24"/>
        </w:rPr>
        <w:t>z</w:t>
      </w:r>
      <w:r w:rsidR="003F7DB7">
        <w:rPr>
          <w:rFonts w:ascii="Times New Roman" w:hAnsi="Times New Roman"/>
          <w:sz w:val="24"/>
        </w:rPr>
        <w:t xml:space="preserve">ing the existence of the ICTY and </w:t>
      </w:r>
      <w:r w:rsidR="00B6792E">
        <w:rPr>
          <w:rFonts w:ascii="Times New Roman" w:hAnsi="Times New Roman"/>
          <w:sz w:val="24"/>
        </w:rPr>
        <w:t xml:space="preserve">aimed at persuading </w:t>
      </w:r>
      <w:r w:rsidR="003F7DB7">
        <w:rPr>
          <w:rFonts w:ascii="Times New Roman" w:hAnsi="Times New Roman"/>
          <w:sz w:val="24"/>
        </w:rPr>
        <w:t xml:space="preserve">its </w:t>
      </w:r>
      <w:r w:rsidR="00B6792E">
        <w:rPr>
          <w:rFonts w:ascii="Times New Roman" w:hAnsi="Times New Roman"/>
          <w:sz w:val="24"/>
        </w:rPr>
        <w:t>officials that the work of the TRC would not conflict with that of the court.</w:t>
      </w:r>
      <w:r w:rsidR="00B6792E">
        <w:rPr>
          <w:rStyle w:val="FootnoteReference"/>
          <w:rFonts w:ascii="Times New Roman" w:hAnsi="Times New Roman"/>
          <w:sz w:val="24"/>
        </w:rPr>
        <w:footnoteReference w:id="40"/>
      </w:r>
      <w:r w:rsidR="00B6792E">
        <w:rPr>
          <w:rFonts w:ascii="Times New Roman" w:hAnsi="Times New Roman"/>
          <w:sz w:val="24"/>
        </w:rPr>
        <w:t xml:space="preserve"> </w:t>
      </w:r>
      <w:r w:rsidR="00E007FB">
        <w:rPr>
          <w:rFonts w:ascii="Times New Roman" w:hAnsi="Times New Roman"/>
          <w:sz w:val="24"/>
        </w:rPr>
        <w:t xml:space="preserve">At the same time, the TRC was given powers by the draft law to collect information, conduct hearings, make unannounced visits to any individuals or institutions for investigative purposes, and </w:t>
      </w:r>
      <w:r w:rsidR="006C2CB1">
        <w:rPr>
          <w:rFonts w:ascii="Times New Roman" w:hAnsi="Times New Roman"/>
          <w:sz w:val="24"/>
        </w:rPr>
        <w:t>seize</w:t>
      </w:r>
      <w:r w:rsidR="00E007FB">
        <w:rPr>
          <w:rFonts w:ascii="Times New Roman" w:hAnsi="Times New Roman"/>
          <w:sz w:val="24"/>
        </w:rPr>
        <w:t xml:space="preserve"> documents and </w:t>
      </w:r>
      <w:r w:rsidR="006C2CB1">
        <w:rPr>
          <w:rFonts w:ascii="Times New Roman" w:hAnsi="Times New Roman"/>
          <w:sz w:val="24"/>
        </w:rPr>
        <w:t xml:space="preserve">other </w:t>
      </w:r>
      <w:r w:rsidR="00E007FB">
        <w:rPr>
          <w:rFonts w:ascii="Times New Roman" w:hAnsi="Times New Roman"/>
          <w:sz w:val="24"/>
        </w:rPr>
        <w:t xml:space="preserve">material </w:t>
      </w:r>
      <w:r w:rsidR="00882242">
        <w:rPr>
          <w:rFonts w:ascii="Times New Roman" w:hAnsi="Times New Roman"/>
          <w:sz w:val="24"/>
        </w:rPr>
        <w:t>from</w:t>
      </w:r>
      <w:r w:rsidR="00E007FB">
        <w:rPr>
          <w:rFonts w:ascii="Times New Roman" w:hAnsi="Times New Roman"/>
          <w:sz w:val="24"/>
        </w:rPr>
        <w:t xml:space="preserve"> </w:t>
      </w:r>
      <w:r w:rsidR="00882242">
        <w:rPr>
          <w:rFonts w:ascii="Times New Roman" w:hAnsi="Times New Roman"/>
          <w:sz w:val="24"/>
        </w:rPr>
        <w:t xml:space="preserve">political </w:t>
      </w:r>
      <w:r w:rsidR="00483C47">
        <w:rPr>
          <w:rFonts w:ascii="Times New Roman" w:hAnsi="Times New Roman"/>
          <w:sz w:val="24"/>
        </w:rPr>
        <w:t>organizations</w:t>
      </w:r>
      <w:r w:rsidR="00A07126">
        <w:rPr>
          <w:rFonts w:ascii="Times New Roman" w:hAnsi="Times New Roman"/>
          <w:sz w:val="24"/>
        </w:rPr>
        <w:t>,</w:t>
      </w:r>
      <w:r w:rsidR="00E007FB">
        <w:rPr>
          <w:rFonts w:ascii="Times New Roman" w:hAnsi="Times New Roman"/>
          <w:sz w:val="24"/>
        </w:rPr>
        <w:t xml:space="preserve"> as well as from sources abroad.</w:t>
      </w:r>
      <w:r w:rsidR="00E007FB">
        <w:rPr>
          <w:rStyle w:val="FootnoteReference"/>
          <w:rFonts w:ascii="Times New Roman" w:hAnsi="Times New Roman"/>
          <w:sz w:val="24"/>
        </w:rPr>
        <w:footnoteReference w:id="41"/>
      </w:r>
      <w:r w:rsidR="00E007FB">
        <w:rPr>
          <w:rFonts w:ascii="Times New Roman" w:hAnsi="Times New Roman"/>
          <w:sz w:val="24"/>
        </w:rPr>
        <w:t xml:space="preserve"> </w:t>
      </w:r>
      <w:r w:rsidR="00376D64">
        <w:rPr>
          <w:rFonts w:ascii="Times New Roman" w:hAnsi="Times New Roman"/>
          <w:sz w:val="24"/>
        </w:rPr>
        <w:t>How</w:t>
      </w:r>
      <w:r w:rsidR="00E007FB">
        <w:rPr>
          <w:rFonts w:ascii="Times New Roman" w:hAnsi="Times New Roman"/>
          <w:sz w:val="24"/>
        </w:rPr>
        <w:t xml:space="preserve"> </w:t>
      </w:r>
      <w:r w:rsidR="005E57E1">
        <w:rPr>
          <w:rFonts w:ascii="Times New Roman" w:hAnsi="Times New Roman"/>
          <w:sz w:val="24"/>
        </w:rPr>
        <w:t>these powers would have been applied</w:t>
      </w:r>
      <w:r w:rsidR="00E007FB">
        <w:rPr>
          <w:rFonts w:ascii="Times New Roman" w:hAnsi="Times New Roman"/>
          <w:sz w:val="24"/>
        </w:rPr>
        <w:t xml:space="preserve"> in practice remains </w:t>
      </w:r>
      <w:r w:rsidR="003D24C0">
        <w:rPr>
          <w:rFonts w:ascii="Times New Roman" w:hAnsi="Times New Roman"/>
          <w:sz w:val="24"/>
        </w:rPr>
        <w:t>open</w:t>
      </w:r>
      <w:r w:rsidR="00E007FB">
        <w:rPr>
          <w:rFonts w:ascii="Times New Roman" w:hAnsi="Times New Roman"/>
          <w:sz w:val="24"/>
        </w:rPr>
        <w:t xml:space="preserve">, as </w:t>
      </w:r>
      <w:r w:rsidR="0068248B">
        <w:rPr>
          <w:rFonts w:ascii="Times New Roman" w:hAnsi="Times New Roman"/>
          <w:sz w:val="24"/>
        </w:rPr>
        <w:t xml:space="preserve">the draft law and statute were </w:t>
      </w:r>
      <w:r w:rsidR="0068248B">
        <w:rPr>
          <w:rFonts w:ascii="Times New Roman" w:hAnsi="Times New Roman"/>
          <w:sz w:val="24"/>
        </w:rPr>
        <w:lastRenderedPageBreak/>
        <w:t xml:space="preserve">never approved by the relevant political authorities. By 2002, it </w:t>
      </w:r>
      <w:r w:rsidR="000E5172">
        <w:rPr>
          <w:rFonts w:ascii="Times New Roman" w:hAnsi="Times New Roman"/>
          <w:sz w:val="24"/>
        </w:rPr>
        <w:t>was</w:t>
      </w:r>
      <w:r w:rsidR="0068248B">
        <w:rPr>
          <w:rFonts w:ascii="Times New Roman" w:hAnsi="Times New Roman"/>
          <w:sz w:val="24"/>
        </w:rPr>
        <w:t xml:space="preserve"> clear that the </w:t>
      </w:r>
      <w:r w:rsidR="005E57E1">
        <w:rPr>
          <w:rFonts w:ascii="Times New Roman" w:hAnsi="Times New Roman"/>
          <w:sz w:val="24"/>
        </w:rPr>
        <w:t>initiative</w:t>
      </w:r>
      <w:r w:rsidR="0068248B">
        <w:rPr>
          <w:rFonts w:ascii="Times New Roman" w:hAnsi="Times New Roman"/>
          <w:sz w:val="24"/>
        </w:rPr>
        <w:t xml:space="preserve"> had stalled at the political level</w:t>
      </w:r>
      <w:r w:rsidR="005E57E1">
        <w:rPr>
          <w:rFonts w:ascii="Times New Roman" w:hAnsi="Times New Roman"/>
          <w:sz w:val="24"/>
        </w:rPr>
        <w:t xml:space="preserve"> and for several years nothing happened</w:t>
      </w:r>
      <w:r w:rsidR="0068248B">
        <w:rPr>
          <w:rFonts w:ascii="Times New Roman" w:hAnsi="Times New Roman"/>
          <w:sz w:val="24"/>
        </w:rPr>
        <w:t>.</w:t>
      </w:r>
      <w:r w:rsidR="005E57E1">
        <w:rPr>
          <w:rStyle w:val="FootnoteReference"/>
          <w:rFonts w:ascii="Times New Roman" w:hAnsi="Times New Roman"/>
          <w:sz w:val="24"/>
        </w:rPr>
        <w:footnoteReference w:id="42"/>
      </w:r>
    </w:p>
    <w:p w:rsidR="00023EFC" w:rsidRDefault="00CA0F82" w:rsidP="00F7256B">
      <w:pPr>
        <w:spacing w:after="0" w:line="360" w:lineRule="auto"/>
        <w:ind w:firstLine="720"/>
        <w:rPr>
          <w:rFonts w:ascii="Times New Roman" w:hAnsi="Times New Roman"/>
          <w:sz w:val="24"/>
        </w:rPr>
      </w:pPr>
      <w:r>
        <w:rPr>
          <w:rFonts w:ascii="Times New Roman" w:hAnsi="Times New Roman"/>
          <w:sz w:val="24"/>
        </w:rPr>
        <w:t xml:space="preserve">The </w:t>
      </w:r>
      <w:r w:rsidR="00A3180F">
        <w:rPr>
          <w:rFonts w:ascii="Times New Roman" w:hAnsi="Times New Roman"/>
          <w:sz w:val="24"/>
        </w:rPr>
        <w:t>revival of the</w:t>
      </w:r>
      <w:r w:rsidR="0068248B">
        <w:rPr>
          <w:rFonts w:ascii="Times New Roman" w:hAnsi="Times New Roman"/>
          <w:sz w:val="24"/>
        </w:rPr>
        <w:t xml:space="preserve"> Bosnian TRC</w:t>
      </w:r>
      <w:r w:rsidR="00F87DCD">
        <w:rPr>
          <w:rFonts w:ascii="Times New Roman" w:hAnsi="Times New Roman"/>
          <w:sz w:val="24"/>
        </w:rPr>
        <w:t xml:space="preserve"> project </w:t>
      </w:r>
      <w:r w:rsidR="00826AA1">
        <w:rPr>
          <w:rFonts w:ascii="Times New Roman" w:hAnsi="Times New Roman"/>
          <w:sz w:val="24"/>
        </w:rPr>
        <w:t>in 2005</w:t>
      </w:r>
      <w:r>
        <w:rPr>
          <w:rFonts w:ascii="Times New Roman" w:hAnsi="Times New Roman"/>
          <w:sz w:val="24"/>
        </w:rPr>
        <w:t>—</w:t>
      </w:r>
      <w:r w:rsidR="00490A90">
        <w:rPr>
          <w:rFonts w:ascii="Times New Roman" w:hAnsi="Times New Roman"/>
          <w:sz w:val="24"/>
        </w:rPr>
        <w:t>this time</w:t>
      </w:r>
      <w:r w:rsidR="00523626">
        <w:rPr>
          <w:rFonts w:ascii="Times New Roman" w:hAnsi="Times New Roman"/>
          <w:sz w:val="24"/>
        </w:rPr>
        <w:t xml:space="preserve"> </w:t>
      </w:r>
      <w:r>
        <w:rPr>
          <w:rFonts w:ascii="Times New Roman" w:hAnsi="Times New Roman"/>
          <w:sz w:val="24"/>
        </w:rPr>
        <w:t>within the Bosnian Parliament—showed a revision of the international strategy to get the commission off the ground. O</w:t>
      </w:r>
      <w:r w:rsidR="00826AA1">
        <w:rPr>
          <w:rFonts w:ascii="Times New Roman" w:hAnsi="Times New Roman"/>
          <w:sz w:val="24"/>
        </w:rPr>
        <w:t>nce again</w:t>
      </w:r>
      <w:r>
        <w:rPr>
          <w:rFonts w:ascii="Times New Roman" w:hAnsi="Times New Roman"/>
          <w:sz w:val="24"/>
        </w:rPr>
        <w:t>, the process was led</w:t>
      </w:r>
      <w:r w:rsidR="00826AA1">
        <w:rPr>
          <w:rFonts w:ascii="Times New Roman" w:hAnsi="Times New Roman"/>
          <w:sz w:val="24"/>
        </w:rPr>
        <w:t xml:space="preserve"> </w:t>
      </w:r>
      <w:r w:rsidR="0068248B">
        <w:rPr>
          <w:rFonts w:ascii="Times New Roman" w:hAnsi="Times New Roman"/>
          <w:sz w:val="24"/>
        </w:rPr>
        <w:t>by</w:t>
      </w:r>
      <w:r w:rsidR="00826AA1">
        <w:rPr>
          <w:rFonts w:ascii="Times New Roman" w:hAnsi="Times New Roman"/>
          <w:sz w:val="24"/>
        </w:rPr>
        <w:t xml:space="preserve"> USIP</w:t>
      </w:r>
      <w:r w:rsidR="00523626">
        <w:rPr>
          <w:rFonts w:ascii="Times New Roman" w:hAnsi="Times New Roman"/>
          <w:sz w:val="24"/>
        </w:rPr>
        <w:t>,</w:t>
      </w:r>
      <w:r w:rsidR="0068248B">
        <w:rPr>
          <w:rFonts w:ascii="Times New Roman" w:hAnsi="Times New Roman"/>
          <w:sz w:val="24"/>
        </w:rPr>
        <w:t xml:space="preserve"> in cooperation with a cognate</w:t>
      </w:r>
      <w:r w:rsidR="00826AA1">
        <w:rPr>
          <w:rFonts w:ascii="Times New Roman" w:hAnsi="Times New Roman"/>
          <w:sz w:val="24"/>
        </w:rPr>
        <w:t xml:space="preserve"> NGO called Dayton </w:t>
      </w:r>
      <w:r w:rsidR="0068248B">
        <w:rPr>
          <w:rFonts w:ascii="Times New Roman" w:hAnsi="Times New Roman"/>
          <w:sz w:val="24"/>
        </w:rPr>
        <w:t>P</w:t>
      </w:r>
      <w:r w:rsidR="00826AA1">
        <w:rPr>
          <w:rFonts w:ascii="Times New Roman" w:hAnsi="Times New Roman"/>
          <w:sz w:val="24"/>
        </w:rPr>
        <w:t xml:space="preserve">roject led by </w:t>
      </w:r>
      <w:r w:rsidR="00FF1A13">
        <w:rPr>
          <w:rFonts w:ascii="Times New Roman" w:hAnsi="Times New Roman"/>
          <w:sz w:val="24"/>
        </w:rPr>
        <w:t xml:space="preserve">the </w:t>
      </w:r>
      <w:r w:rsidR="0068248B">
        <w:rPr>
          <w:rFonts w:ascii="Times New Roman" w:hAnsi="Times New Roman"/>
          <w:sz w:val="24"/>
        </w:rPr>
        <w:t xml:space="preserve">then </w:t>
      </w:r>
      <w:r w:rsidR="005E57E1">
        <w:rPr>
          <w:rFonts w:ascii="Times New Roman" w:hAnsi="Times New Roman"/>
          <w:sz w:val="24"/>
        </w:rPr>
        <w:t>D</w:t>
      </w:r>
      <w:r w:rsidR="00826AA1">
        <w:rPr>
          <w:rFonts w:ascii="Times New Roman" w:hAnsi="Times New Roman"/>
          <w:sz w:val="24"/>
        </w:rPr>
        <w:t>eputy High Commissioner</w:t>
      </w:r>
      <w:r w:rsidR="00FF1A13">
        <w:rPr>
          <w:rFonts w:ascii="Times New Roman" w:hAnsi="Times New Roman"/>
          <w:sz w:val="24"/>
        </w:rPr>
        <w:t xml:space="preserve"> for Bosnia</w:t>
      </w:r>
      <w:r w:rsidR="0068248B">
        <w:rPr>
          <w:rFonts w:ascii="Times New Roman" w:hAnsi="Times New Roman"/>
          <w:sz w:val="24"/>
        </w:rPr>
        <w:t>, the American Donald Hays</w:t>
      </w:r>
      <w:r w:rsidR="00A3180F">
        <w:rPr>
          <w:rFonts w:ascii="Times New Roman" w:hAnsi="Times New Roman"/>
          <w:sz w:val="24"/>
        </w:rPr>
        <w:t xml:space="preserve">. </w:t>
      </w:r>
      <w:r w:rsidR="003D24C0">
        <w:rPr>
          <w:rFonts w:ascii="Times New Roman" w:hAnsi="Times New Roman"/>
          <w:sz w:val="24"/>
        </w:rPr>
        <w:t>Now</w:t>
      </w:r>
      <w:r w:rsidR="005E57E1">
        <w:rPr>
          <w:rFonts w:ascii="Times New Roman" w:hAnsi="Times New Roman"/>
          <w:sz w:val="24"/>
        </w:rPr>
        <w:t xml:space="preserve"> the </w:t>
      </w:r>
      <w:r w:rsidR="00E355F5">
        <w:rPr>
          <w:rFonts w:ascii="Times New Roman" w:hAnsi="Times New Roman"/>
          <w:sz w:val="24"/>
        </w:rPr>
        <w:t xml:space="preserve">TRC </w:t>
      </w:r>
      <w:r w:rsidR="005E57E1">
        <w:rPr>
          <w:rFonts w:ascii="Times New Roman" w:hAnsi="Times New Roman"/>
          <w:sz w:val="24"/>
        </w:rPr>
        <w:t>unofficially</w:t>
      </w:r>
      <w:r w:rsidR="00E355F5">
        <w:rPr>
          <w:rFonts w:ascii="Times New Roman" w:hAnsi="Times New Roman"/>
          <w:sz w:val="24"/>
        </w:rPr>
        <w:t xml:space="preserve"> </w:t>
      </w:r>
      <w:r w:rsidR="005E57E1">
        <w:rPr>
          <w:rFonts w:ascii="Times New Roman" w:hAnsi="Times New Roman"/>
          <w:sz w:val="24"/>
        </w:rPr>
        <w:t>became</w:t>
      </w:r>
      <w:r w:rsidR="00F87DCD">
        <w:rPr>
          <w:rFonts w:ascii="Times New Roman" w:hAnsi="Times New Roman"/>
          <w:sz w:val="24"/>
        </w:rPr>
        <w:t xml:space="preserve"> </w:t>
      </w:r>
      <w:r w:rsidR="005E57E1">
        <w:rPr>
          <w:rFonts w:ascii="Times New Roman" w:hAnsi="Times New Roman"/>
          <w:sz w:val="24"/>
        </w:rPr>
        <w:t>linked to the</w:t>
      </w:r>
      <w:r w:rsidR="00E355F5">
        <w:rPr>
          <w:rFonts w:ascii="Times New Roman" w:hAnsi="Times New Roman"/>
          <w:sz w:val="24"/>
        </w:rPr>
        <w:t xml:space="preserve"> </w:t>
      </w:r>
      <w:r w:rsidR="00F87DCD">
        <w:rPr>
          <w:rFonts w:ascii="Times New Roman" w:hAnsi="Times New Roman"/>
          <w:sz w:val="24"/>
        </w:rPr>
        <w:t>broader</w:t>
      </w:r>
      <w:r w:rsidR="00E355F5">
        <w:rPr>
          <w:rFonts w:ascii="Times New Roman" w:hAnsi="Times New Roman"/>
          <w:sz w:val="24"/>
        </w:rPr>
        <w:t xml:space="preserve"> process of Bosnian constitutional reform</w:t>
      </w:r>
      <w:r w:rsidR="005E57E1">
        <w:rPr>
          <w:rFonts w:ascii="Times New Roman" w:hAnsi="Times New Roman"/>
          <w:sz w:val="24"/>
        </w:rPr>
        <w:t xml:space="preserve"> that</w:t>
      </w:r>
      <w:r w:rsidR="00E355F5">
        <w:rPr>
          <w:rFonts w:ascii="Times New Roman" w:hAnsi="Times New Roman"/>
          <w:sz w:val="24"/>
        </w:rPr>
        <w:t xml:space="preserve"> </w:t>
      </w:r>
      <w:r w:rsidR="005E57E1">
        <w:rPr>
          <w:rFonts w:ascii="Times New Roman" w:hAnsi="Times New Roman"/>
          <w:sz w:val="24"/>
        </w:rPr>
        <w:t xml:space="preserve">Hays </w:t>
      </w:r>
      <w:r w:rsidR="00A2205B">
        <w:rPr>
          <w:rFonts w:ascii="Times New Roman" w:hAnsi="Times New Roman"/>
          <w:sz w:val="24"/>
        </w:rPr>
        <w:t>was</w:t>
      </w:r>
      <w:r w:rsidR="005E57E1">
        <w:rPr>
          <w:rFonts w:ascii="Times New Roman" w:hAnsi="Times New Roman"/>
          <w:sz w:val="24"/>
        </w:rPr>
        <w:t xml:space="preserve"> negotiating with Bosnia’s main political parties</w:t>
      </w:r>
      <w:r w:rsidR="00E355F5">
        <w:rPr>
          <w:rFonts w:ascii="Times New Roman" w:hAnsi="Times New Roman"/>
          <w:sz w:val="24"/>
        </w:rPr>
        <w:t xml:space="preserve"> </w:t>
      </w:r>
      <w:r w:rsidR="00A2205B">
        <w:rPr>
          <w:rFonts w:ascii="Times New Roman" w:hAnsi="Times New Roman"/>
          <w:sz w:val="24"/>
        </w:rPr>
        <w:t>since</w:t>
      </w:r>
      <w:r w:rsidR="00E355F5">
        <w:rPr>
          <w:rFonts w:ascii="Times New Roman" w:hAnsi="Times New Roman"/>
          <w:sz w:val="24"/>
        </w:rPr>
        <w:t xml:space="preserve"> April 2005</w:t>
      </w:r>
      <w:r w:rsidR="00C9749B">
        <w:rPr>
          <w:rFonts w:ascii="Times New Roman" w:hAnsi="Times New Roman"/>
          <w:sz w:val="24"/>
        </w:rPr>
        <w:t>—</w:t>
      </w:r>
      <w:r w:rsidR="00490A90">
        <w:rPr>
          <w:rFonts w:ascii="Times New Roman" w:hAnsi="Times New Roman"/>
          <w:sz w:val="24"/>
        </w:rPr>
        <w:t xml:space="preserve">sidelining </w:t>
      </w:r>
      <w:r w:rsidR="00A3180F">
        <w:rPr>
          <w:rFonts w:ascii="Times New Roman" w:hAnsi="Times New Roman"/>
          <w:sz w:val="24"/>
        </w:rPr>
        <w:t xml:space="preserve">the NGOs </w:t>
      </w:r>
      <w:r w:rsidR="000E5172">
        <w:rPr>
          <w:rFonts w:ascii="Times New Roman" w:hAnsi="Times New Roman"/>
          <w:sz w:val="24"/>
        </w:rPr>
        <w:t>of</w:t>
      </w:r>
      <w:r w:rsidR="00A3180F">
        <w:rPr>
          <w:rFonts w:ascii="Times New Roman" w:hAnsi="Times New Roman"/>
          <w:sz w:val="24"/>
        </w:rPr>
        <w:t xml:space="preserve"> the first </w:t>
      </w:r>
      <w:r w:rsidR="000E5172">
        <w:rPr>
          <w:rFonts w:ascii="Times New Roman" w:hAnsi="Times New Roman"/>
          <w:sz w:val="24"/>
        </w:rPr>
        <w:t>phase</w:t>
      </w:r>
      <w:r w:rsidR="00CC36C5">
        <w:rPr>
          <w:rFonts w:ascii="Times New Roman" w:hAnsi="Times New Roman"/>
          <w:sz w:val="24"/>
        </w:rPr>
        <w:t>,</w:t>
      </w:r>
      <w:r w:rsidR="00490A90">
        <w:rPr>
          <w:rFonts w:ascii="Times New Roman" w:hAnsi="Times New Roman"/>
          <w:sz w:val="24"/>
        </w:rPr>
        <w:t xml:space="preserve"> who</w:t>
      </w:r>
      <w:r w:rsidR="00523626">
        <w:rPr>
          <w:rFonts w:ascii="Times New Roman" w:hAnsi="Times New Roman"/>
          <w:sz w:val="24"/>
        </w:rPr>
        <w:t xml:space="preserve"> were </w:t>
      </w:r>
      <w:r w:rsidR="008D7316">
        <w:rPr>
          <w:rFonts w:ascii="Times New Roman" w:hAnsi="Times New Roman"/>
          <w:sz w:val="24"/>
        </w:rPr>
        <w:t>not</w:t>
      </w:r>
      <w:r w:rsidR="000E5172">
        <w:rPr>
          <w:rFonts w:ascii="Times New Roman" w:hAnsi="Times New Roman"/>
          <w:sz w:val="24"/>
        </w:rPr>
        <w:t xml:space="preserve"> informed</w:t>
      </w:r>
      <w:r w:rsidR="00A3180F">
        <w:rPr>
          <w:rFonts w:ascii="Times New Roman" w:hAnsi="Times New Roman"/>
          <w:sz w:val="24"/>
        </w:rPr>
        <w:t xml:space="preserve"> of th</w:t>
      </w:r>
      <w:r w:rsidR="00523626">
        <w:rPr>
          <w:rFonts w:ascii="Times New Roman" w:hAnsi="Times New Roman"/>
          <w:sz w:val="24"/>
        </w:rPr>
        <w:t>e</w:t>
      </w:r>
      <w:r w:rsidR="00A3180F">
        <w:rPr>
          <w:rFonts w:ascii="Times New Roman" w:hAnsi="Times New Roman"/>
          <w:sz w:val="24"/>
        </w:rPr>
        <w:t xml:space="preserve"> new initiative.</w:t>
      </w:r>
      <w:r w:rsidR="00A3180F">
        <w:rPr>
          <w:rStyle w:val="FootnoteReference"/>
          <w:rFonts w:ascii="Times New Roman" w:hAnsi="Times New Roman"/>
          <w:sz w:val="24"/>
        </w:rPr>
        <w:footnoteReference w:id="43"/>
      </w:r>
      <w:r w:rsidR="00E355F5">
        <w:rPr>
          <w:rFonts w:ascii="Times New Roman" w:hAnsi="Times New Roman"/>
          <w:sz w:val="24"/>
        </w:rPr>
        <w:t xml:space="preserve"> </w:t>
      </w:r>
      <w:r w:rsidR="00A3180F">
        <w:rPr>
          <w:rFonts w:ascii="Times New Roman" w:hAnsi="Times New Roman"/>
          <w:sz w:val="24"/>
        </w:rPr>
        <w:t xml:space="preserve">The decision to focus on political parties rather than civil society </w:t>
      </w:r>
      <w:r w:rsidR="00E04F2A">
        <w:rPr>
          <w:rFonts w:ascii="Times New Roman" w:hAnsi="Times New Roman"/>
          <w:sz w:val="24"/>
        </w:rPr>
        <w:t xml:space="preserve">undoubtedly </w:t>
      </w:r>
      <w:r w:rsidR="00A2205B">
        <w:rPr>
          <w:rFonts w:ascii="Times New Roman" w:hAnsi="Times New Roman"/>
          <w:sz w:val="24"/>
        </w:rPr>
        <w:t>reflected a</w:t>
      </w:r>
      <w:r w:rsidR="00E04F2A">
        <w:rPr>
          <w:rFonts w:ascii="Times New Roman" w:hAnsi="Times New Roman"/>
          <w:sz w:val="24"/>
        </w:rPr>
        <w:t xml:space="preserve"> recognition that an official TRC had to achieve political backing if it was </w:t>
      </w:r>
      <w:r w:rsidR="00A2205B">
        <w:rPr>
          <w:rFonts w:ascii="Times New Roman" w:hAnsi="Times New Roman"/>
          <w:sz w:val="24"/>
        </w:rPr>
        <w:t xml:space="preserve">ever </w:t>
      </w:r>
      <w:r w:rsidR="00E04F2A">
        <w:rPr>
          <w:rFonts w:ascii="Times New Roman" w:hAnsi="Times New Roman"/>
          <w:sz w:val="24"/>
        </w:rPr>
        <w:t>to come into existence.</w:t>
      </w:r>
      <w:r w:rsidR="00A3180F">
        <w:rPr>
          <w:rFonts w:ascii="Times New Roman" w:hAnsi="Times New Roman"/>
          <w:sz w:val="24"/>
        </w:rPr>
        <w:t xml:space="preserve"> </w:t>
      </w:r>
      <w:r w:rsidR="005E57E1">
        <w:rPr>
          <w:rFonts w:ascii="Times New Roman" w:hAnsi="Times New Roman"/>
          <w:sz w:val="24"/>
        </w:rPr>
        <w:t>Hays</w:t>
      </w:r>
      <w:r w:rsidR="00826AA1">
        <w:rPr>
          <w:rFonts w:ascii="Times New Roman" w:hAnsi="Times New Roman"/>
          <w:sz w:val="24"/>
        </w:rPr>
        <w:t xml:space="preserve"> </w:t>
      </w:r>
      <w:r w:rsidR="00E04F2A">
        <w:rPr>
          <w:rFonts w:ascii="Times New Roman" w:hAnsi="Times New Roman"/>
          <w:sz w:val="24"/>
        </w:rPr>
        <w:t xml:space="preserve">thus </w:t>
      </w:r>
      <w:r w:rsidR="00A2205B">
        <w:rPr>
          <w:rFonts w:ascii="Times New Roman" w:hAnsi="Times New Roman"/>
          <w:sz w:val="24"/>
        </w:rPr>
        <w:t>negotiated</w:t>
      </w:r>
      <w:r w:rsidR="00826AA1">
        <w:rPr>
          <w:rFonts w:ascii="Times New Roman" w:hAnsi="Times New Roman"/>
          <w:sz w:val="24"/>
        </w:rPr>
        <w:t xml:space="preserve"> with </w:t>
      </w:r>
      <w:r w:rsidR="00E355F5">
        <w:rPr>
          <w:rFonts w:ascii="Times New Roman" w:hAnsi="Times New Roman"/>
          <w:sz w:val="24"/>
        </w:rPr>
        <w:t xml:space="preserve">the </w:t>
      </w:r>
      <w:r w:rsidR="00826AA1">
        <w:rPr>
          <w:rFonts w:ascii="Times New Roman" w:hAnsi="Times New Roman"/>
          <w:sz w:val="24"/>
        </w:rPr>
        <w:t xml:space="preserve">leaders of the </w:t>
      </w:r>
      <w:r w:rsidR="00634AAF">
        <w:rPr>
          <w:rFonts w:ascii="Times New Roman" w:hAnsi="Times New Roman"/>
          <w:sz w:val="24"/>
        </w:rPr>
        <w:t xml:space="preserve">eight </w:t>
      </w:r>
      <w:r w:rsidR="00826AA1">
        <w:rPr>
          <w:rFonts w:ascii="Times New Roman" w:hAnsi="Times New Roman"/>
          <w:sz w:val="24"/>
        </w:rPr>
        <w:t>main political parties</w:t>
      </w:r>
      <w:r w:rsidR="00A2205B">
        <w:rPr>
          <w:rFonts w:ascii="Times New Roman" w:hAnsi="Times New Roman"/>
          <w:sz w:val="24"/>
        </w:rPr>
        <w:t xml:space="preserve"> </w:t>
      </w:r>
      <w:r w:rsidR="005E57E1">
        <w:rPr>
          <w:rFonts w:ascii="Times New Roman" w:hAnsi="Times New Roman"/>
          <w:sz w:val="24"/>
        </w:rPr>
        <w:t>to</w:t>
      </w:r>
      <w:r w:rsidR="00E355F5">
        <w:rPr>
          <w:rFonts w:ascii="Times New Roman" w:hAnsi="Times New Roman"/>
          <w:sz w:val="24"/>
        </w:rPr>
        <w:t xml:space="preserve"> creat</w:t>
      </w:r>
      <w:r w:rsidR="005E57E1">
        <w:rPr>
          <w:rFonts w:ascii="Times New Roman" w:hAnsi="Times New Roman"/>
          <w:sz w:val="24"/>
        </w:rPr>
        <w:t>e</w:t>
      </w:r>
      <w:r w:rsidR="00E355F5">
        <w:rPr>
          <w:rFonts w:ascii="Times New Roman" w:hAnsi="Times New Roman"/>
          <w:sz w:val="24"/>
        </w:rPr>
        <w:t xml:space="preserve"> a parliamentary group devoted to the drafting of a law on the TRC</w:t>
      </w:r>
      <w:r w:rsidR="00826AA1">
        <w:rPr>
          <w:rFonts w:ascii="Times New Roman" w:hAnsi="Times New Roman"/>
          <w:sz w:val="24"/>
        </w:rPr>
        <w:t>.</w:t>
      </w:r>
      <w:r w:rsidR="00826AA1">
        <w:rPr>
          <w:rStyle w:val="FootnoteReference"/>
          <w:rFonts w:ascii="Times New Roman" w:hAnsi="Times New Roman"/>
          <w:sz w:val="24"/>
        </w:rPr>
        <w:footnoteReference w:id="44"/>
      </w:r>
      <w:r w:rsidR="00826AA1">
        <w:rPr>
          <w:rFonts w:ascii="Times New Roman" w:hAnsi="Times New Roman"/>
          <w:sz w:val="24"/>
        </w:rPr>
        <w:t xml:space="preserve"> The financing was provided by USIP, in cooperation with </w:t>
      </w:r>
      <w:r w:rsidR="00F87DCD">
        <w:rPr>
          <w:rFonts w:ascii="Times New Roman" w:hAnsi="Times New Roman"/>
          <w:sz w:val="24"/>
        </w:rPr>
        <w:t xml:space="preserve">the </w:t>
      </w:r>
      <w:r w:rsidR="00826AA1">
        <w:rPr>
          <w:rFonts w:ascii="Times New Roman" w:hAnsi="Times New Roman"/>
          <w:sz w:val="24"/>
        </w:rPr>
        <w:t>U</w:t>
      </w:r>
      <w:r w:rsidR="0045412D">
        <w:rPr>
          <w:rFonts w:ascii="Times New Roman" w:hAnsi="Times New Roman"/>
          <w:sz w:val="24"/>
        </w:rPr>
        <w:t xml:space="preserve">nited </w:t>
      </w:r>
      <w:r w:rsidR="00826AA1">
        <w:rPr>
          <w:rFonts w:ascii="Times New Roman" w:hAnsi="Times New Roman"/>
          <w:sz w:val="24"/>
        </w:rPr>
        <w:t>N</w:t>
      </w:r>
      <w:r w:rsidR="0045412D">
        <w:rPr>
          <w:rFonts w:ascii="Times New Roman" w:hAnsi="Times New Roman"/>
          <w:sz w:val="24"/>
        </w:rPr>
        <w:t xml:space="preserve">ations </w:t>
      </w:r>
      <w:r w:rsidR="00826AA1">
        <w:rPr>
          <w:rFonts w:ascii="Times New Roman" w:hAnsi="Times New Roman"/>
          <w:sz w:val="24"/>
        </w:rPr>
        <w:t>D</w:t>
      </w:r>
      <w:r w:rsidR="0045412D">
        <w:rPr>
          <w:rFonts w:ascii="Times New Roman" w:hAnsi="Times New Roman"/>
          <w:sz w:val="24"/>
        </w:rPr>
        <w:t xml:space="preserve">evelopment </w:t>
      </w:r>
      <w:r w:rsidR="00826AA1">
        <w:rPr>
          <w:rFonts w:ascii="Times New Roman" w:hAnsi="Times New Roman"/>
          <w:sz w:val="24"/>
        </w:rPr>
        <w:t>P</w:t>
      </w:r>
      <w:r w:rsidR="0045412D">
        <w:rPr>
          <w:rFonts w:ascii="Times New Roman" w:hAnsi="Times New Roman"/>
          <w:sz w:val="24"/>
        </w:rPr>
        <w:t xml:space="preserve">rogramme (UNDP), </w:t>
      </w:r>
      <w:r w:rsidR="00FF1A13">
        <w:rPr>
          <w:rFonts w:ascii="Times New Roman" w:hAnsi="Times New Roman"/>
          <w:sz w:val="24"/>
        </w:rPr>
        <w:t>both of which</w:t>
      </w:r>
      <w:r w:rsidR="0045412D">
        <w:rPr>
          <w:rFonts w:ascii="Times New Roman" w:hAnsi="Times New Roman"/>
          <w:sz w:val="24"/>
        </w:rPr>
        <w:t xml:space="preserve"> nominated their own advisors to the working group—</w:t>
      </w:r>
      <w:r w:rsidR="00826AA1">
        <w:rPr>
          <w:rFonts w:ascii="Times New Roman" w:hAnsi="Times New Roman"/>
          <w:sz w:val="24"/>
        </w:rPr>
        <w:t>Neil</w:t>
      </w:r>
      <w:r w:rsidR="0045412D">
        <w:rPr>
          <w:rFonts w:ascii="Times New Roman" w:hAnsi="Times New Roman"/>
          <w:sz w:val="24"/>
        </w:rPr>
        <w:t xml:space="preserve"> </w:t>
      </w:r>
      <w:r w:rsidR="00826AA1">
        <w:rPr>
          <w:rFonts w:ascii="Times New Roman" w:hAnsi="Times New Roman"/>
          <w:sz w:val="24"/>
        </w:rPr>
        <w:t xml:space="preserve">Kritz for USIP and Gordon Bacon for UNDP. </w:t>
      </w:r>
      <w:r w:rsidR="00634AAF">
        <w:rPr>
          <w:rFonts w:ascii="Times New Roman" w:hAnsi="Times New Roman"/>
          <w:sz w:val="24"/>
        </w:rPr>
        <w:t>The working group was set up in October 2005</w:t>
      </w:r>
      <w:r w:rsidR="00A2205B">
        <w:rPr>
          <w:rFonts w:ascii="Times New Roman" w:hAnsi="Times New Roman"/>
          <w:sz w:val="24"/>
        </w:rPr>
        <w:t xml:space="preserve">, </w:t>
      </w:r>
      <w:r w:rsidR="003D24C0">
        <w:rPr>
          <w:rFonts w:ascii="Times New Roman" w:hAnsi="Times New Roman"/>
          <w:sz w:val="24"/>
        </w:rPr>
        <w:t>with meetings held</w:t>
      </w:r>
      <w:r w:rsidR="00A2205B">
        <w:rPr>
          <w:rFonts w:ascii="Times New Roman" w:hAnsi="Times New Roman"/>
          <w:sz w:val="24"/>
        </w:rPr>
        <w:t xml:space="preserve"> </w:t>
      </w:r>
      <w:r w:rsidR="00E355F5">
        <w:rPr>
          <w:rFonts w:ascii="Times New Roman" w:hAnsi="Times New Roman"/>
          <w:sz w:val="24"/>
        </w:rPr>
        <w:t>behind closed doors</w:t>
      </w:r>
      <w:r w:rsidR="00A2205B">
        <w:rPr>
          <w:rFonts w:ascii="Times New Roman" w:hAnsi="Times New Roman"/>
          <w:sz w:val="24"/>
        </w:rPr>
        <w:t xml:space="preserve"> until </w:t>
      </w:r>
      <w:r w:rsidR="00826AA1">
        <w:rPr>
          <w:rFonts w:ascii="Times New Roman" w:hAnsi="Times New Roman"/>
          <w:sz w:val="24"/>
        </w:rPr>
        <w:t xml:space="preserve">January 2006, </w:t>
      </w:r>
      <w:r w:rsidR="00A2205B">
        <w:rPr>
          <w:rFonts w:ascii="Times New Roman" w:hAnsi="Times New Roman"/>
          <w:sz w:val="24"/>
        </w:rPr>
        <w:t xml:space="preserve">when </w:t>
      </w:r>
      <w:r w:rsidR="00E355F5">
        <w:rPr>
          <w:rFonts w:ascii="Times New Roman" w:hAnsi="Times New Roman"/>
          <w:sz w:val="24"/>
        </w:rPr>
        <w:t>it</w:t>
      </w:r>
      <w:r w:rsidR="00826AA1">
        <w:rPr>
          <w:rFonts w:ascii="Times New Roman" w:hAnsi="Times New Roman"/>
          <w:sz w:val="24"/>
        </w:rPr>
        <w:t xml:space="preserve"> </w:t>
      </w:r>
      <w:r w:rsidR="00634AAF">
        <w:rPr>
          <w:rFonts w:ascii="Times New Roman" w:hAnsi="Times New Roman"/>
          <w:sz w:val="24"/>
        </w:rPr>
        <w:t xml:space="preserve">first </w:t>
      </w:r>
      <w:r w:rsidR="00490A90">
        <w:rPr>
          <w:rFonts w:ascii="Times New Roman" w:hAnsi="Times New Roman"/>
          <w:sz w:val="24"/>
        </w:rPr>
        <w:t xml:space="preserve">publicly </w:t>
      </w:r>
      <w:r w:rsidR="00634AAF">
        <w:rPr>
          <w:rFonts w:ascii="Times New Roman" w:hAnsi="Times New Roman"/>
          <w:sz w:val="24"/>
        </w:rPr>
        <w:t xml:space="preserve">presented </w:t>
      </w:r>
      <w:r w:rsidR="00E355F5">
        <w:rPr>
          <w:rFonts w:ascii="Times New Roman" w:hAnsi="Times New Roman"/>
          <w:sz w:val="24"/>
        </w:rPr>
        <w:t>its</w:t>
      </w:r>
      <w:r w:rsidR="00634AAF">
        <w:rPr>
          <w:rFonts w:ascii="Times New Roman" w:hAnsi="Times New Roman"/>
          <w:sz w:val="24"/>
        </w:rPr>
        <w:t xml:space="preserve"> work </w:t>
      </w:r>
      <w:r w:rsidR="00E355F5">
        <w:rPr>
          <w:rFonts w:ascii="Times New Roman" w:hAnsi="Times New Roman"/>
          <w:sz w:val="24"/>
        </w:rPr>
        <w:t>at a</w:t>
      </w:r>
      <w:r w:rsidR="00C20199">
        <w:rPr>
          <w:rFonts w:ascii="Times New Roman" w:hAnsi="Times New Roman"/>
          <w:sz w:val="24"/>
        </w:rPr>
        <w:t xml:space="preserve"> regional NGO</w:t>
      </w:r>
      <w:r w:rsidR="00E355F5">
        <w:rPr>
          <w:rFonts w:ascii="Times New Roman" w:hAnsi="Times New Roman"/>
          <w:sz w:val="24"/>
        </w:rPr>
        <w:t xml:space="preserve"> conference </w:t>
      </w:r>
      <w:r w:rsidR="00C20199">
        <w:rPr>
          <w:rFonts w:ascii="Times New Roman" w:hAnsi="Times New Roman"/>
          <w:sz w:val="24"/>
        </w:rPr>
        <w:t>in Sarajevo</w:t>
      </w:r>
      <w:r w:rsidR="00826AA1">
        <w:rPr>
          <w:rFonts w:ascii="Times New Roman" w:hAnsi="Times New Roman"/>
          <w:sz w:val="24"/>
        </w:rPr>
        <w:t>.</w:t>
      </w:r>
      <w:r w:rsidR="0045412D">
        <w:rPr>
          <w:rStyle w:val="FootnoteReference"/>
          <w:rFonts w:ascii="Times New Roman" w:hAnsi="Times New Roman"/>
          <w:sz w:val="24"/>
        </w:rPr>
        <w:footnoteReference w:id="45"/>
      </w:r>
      <w:r w:rsidR="00F7256B">
        <w:rPr>
          <w:rFonts w:ascii="Times New Roman" w:hAnsi="Times New Roman"/>
          <w:sz w:val="24"/>
        </w:rPr>
        <w:t xml:space="preserve"> </w:t>
      </w:r>
      <w:r w:rsidR="00A07126">
        <w:rPr>
          <w:rFonts w:ascii="Times New Roman" w:hAnsi="Times New Roman"/>
          <w:sz w:val="24"/>
        </w:rPr>
        <w:t xml:space="preserve">Its </w:t>
      </w:r>
      <w:r w:rsidR="0045412D">
        <w:rPr>
          <w:rFonts w:ascii="Times New Roman" w:hAnsi="Times New Roman"/>
          <w:sz w:val="24"/>
        </w:rPr>
        <w:t xml:space="preserve">draft law </w:t>
      </w:r>
      <w:r w:rsidR="00634AAF">
        <w:rPr>
          <w:rFonts w:ascii="Times New Roman" w:hAnsi="Times New Roman"/>
          <w:sz w:val="24"/>
        </w:rPr>
        <w:t xml:space="preserve">did not </w:t>
      </w:r>
      <w:r w:rsidR="008D7DA2">
        <w:rPr>
          <w:rFonts w:ascii="Times New Roman" w:hAnsi="Times New Roman"/>
          <w:sz w:val="24"/>
        </w:rPr>
        <w:t xml:space="preserve">significantly </w:t>
      </w:r>
      <w:r w:rsidR="0045412D">
        <w:rPr>
          <w:rFonts w:ascii="Times New Roman" w:hAnsi="Times New Roman"/>
          <w:sz w:val="24"/>
        </w:rPr>
        <w:t>differ from th</w:t>
      </w:r>
      <w:r w:rsidR="00F87DCD">
        <w:rPr>
          <w:rFonts w:ascii="Times New Roman" w:hAnsi="Times New Roman"/>
          <w:sz w:val="24"/>
        </w:rPr>
        <w:t>e one</w:t>
      </w:r>
      <w:r w:rsidR="0045412D">
        <w:rPr>
          <w:rFonts w:ascii="Times New Roman" w:hAnsi="Times New Roman"/>
          <w:sz w:val="24"/>
        </w:rPr>
        <w:t xml:space="preserve"> </w:t>
      </w:r>
      <w:r w:rsidR="00FF1A13">
        <w:rPr>
          <w:rFonts w:ascii="Times New Roman" w:hAnsi="Times New Roman"/>
          <w:sz w:val="24"/>
        </w:rPr>
        <w:t>elaborat</w:t>
      </w:r>
      <w:r w:rsidR="00634AAF">
        <w:rPr>
          <w:rFonts w:ascii="Times New Roman" w:hAnsi="Times New Roman"/>
          <w:sz w:val="24"/>
        </w:rPr>
        <w:t>e</w:t>
      </w:r>
      <w:r w:rsidR="003D24C0">
        <w:rPr>
          <w:rFonts w:ascii="Times New Roman" w:hAnsi="Times New Roman"/>
          <w:sz w:val="24"/>
        </w:rPr>
        <w:t>d previously by Kritz and Finci, and</w:t>
      </w:r>
      <w:r w:rsidR="00DD3C9C">
        <w:rPr>
          <w:rFonts w:ascii="Times New Roman" w:hAnsi="Times New Roman"/>
          <w:sz w:val="24"/>
        </w:rPr>
        <w:t xml:space="preserve"> </w:t>
      </w:r>
      <w:r w:rsidR="00FF1A13">
        <w:rPr>
          <w:rFonts w:ascii="Times New Roman" w:hAnsi="Times New Roman"/>
          <w:sz w:val="24"/>
        </w:rPr>
        <w:t>the</w:t>
      </w:r>
      <w:r w:rsidR="00634AAF">
        <w:rPr>
          <w:rFonts w:ascii="Times New Roman" w:hAnsi="Times New Roman"/>
          <w:sz w:val="24"/>
        </w:rPr>
        <w:t xml:space="preserve"> discussions</w:t>
      </w:r>
      <w:r w:rsidR="009F2E39">
        <w:rPr>
          <w:rFonts w:ascii="Times New Roman" w:hAnsi="Times New Roman"/>
          <w:sz w:val="24"/>
        </w:rPr>
        <w:t xml:space="preserve"> in the working group</w:t>
      </w:r>
      <w:r w:rsidR="00634AAF">
        <w:rPr>
          <w:rFonts w:ascii="Times New Roman" w:hAnsi="Times New Roman"/>
          <w:sz w:val="24"/>
        </w:rPr>
        <w:t xml:space="preserve"> </w:t>
      </w:r>
      <w:r w:rsidR="001557A6">
        <w:rPr>
          <w:rFonts w:ascii="Times New Roman" w:hAnsi="Times New Roman"/>
          <w:sz w:val="24"/>
        </w:rPr>
        <w:t>were</w:t>
      </w:r>
      <w:r w:rsidR="00CA7E4B">
        <w:rPr>
          <w:rFonts w:ascii="Times New Roman" w:hAnsi="Times New Roman"/>
          <w:sz w:val="24"/>
        </w:rPr>
        <w:t xml:space="preserve"> based </w:t>
      </w:r>
      <w:r w:rsidR="00634AAF">
        <w:rPr>
          <w:rFonts w:ascii="Times New Roman" w:hAnsi="Times New Roman"/>
          <w:sz w:val="24"/>
        </w:rPr>
        <w:t xml:space="preserve">on </w:t>
      </w:r>
      <w:r w:rsidR="00DD3C9C">
        <w:rPr>
          <w:rFonts w:ascii="Times New Roman" w:hAnsi="Times New Roman"/>
          <w:sz w:val="24"/>
        </w:rPr>
        <w:t>that earlier draft.</w:t>
      </w:r>
      <w:r w:rsidR="00DD3C9C">
        <w:rPr>
          <w:rStyle w:val="FootnoteReference"/>
          <w:rFonts w:ascii="Times New Roman" w:hAnsi="Times New Roman"/>
          <w:sz w:val="24"/>
        </w:rPr>
        <w:footnoteReference w:id="46"/>
      </w:r>
      <w:r w:rsidR="009F262F">
        <w:rPr>
          <w:rFonts w:ascii="Times New Roman" w:hAnsi="Times New Roman"/>
          <w:sz w:val="24"/>
        </w:rPr>
        <w:t xml:space="preserve"> </w:t>
      </w:r>
    </w:p>
    <w:p w:rsidR="00162EE9" w:rsidRDefault="00905197" w:rsidP="00162EE9">
      <w:pPr>
        <w:spacing w:after="0" w:line="360" w:lineRule="auto"/>
        <w:ind w:firstLine="720"/>
        <w:rPr>
          <w:rFonts w:ascii="Times New Roman" w:hAnsi="Times New Roman"/>
          <w:sz w:val="24"/>
        </w:rPr>
      </w:pPr>
      <w:r>
        <w:rPr>
          <w:rFonts w:ascii="Times New Roman" w:hAnsi="Times New Roman"/>
          <w:sz w:val="24"/>
        </w:rPr>
        <w:t xml:space="preserve">The </w:t>
      </w:r>
      <w:r w:rsidR="00023EFC">
        <w:rPr>
          <w:rFonts w:ascii="Times New Roman" w:hAnsi="Times New Roman"/>
          <w:sz w:val="24"/>
        </w:rPr>
        <w:t>main</w:t>
      </w:r>
      <w:r>
        <w:rPr>
          <w:rFonts w:ascii="Times New Roman" w:hAnsi="Times New Roman"/>
          <w:sz w:val="24"/>
        </w:rPr>
        <w:t xml:space="preserve"> change</w:t>
      </w:r>
      <w:r w:rsidR="00023EFC">
        <w:rPr>
          <w:rFonts w:ascii="Times New Roman" w:hAnsi="Times New Roman"/>
          <w:sz w:val="24"/>
        </w:rPr>
        <w:t xml:space="preserve"> to the draft </w:t>
      </w:r>
      <w:r>
        <w:rPr>
          <w:rFonts w:ascii="Times New Roman" w:hAnsi="Times New Roman"/>
          <w:sz w:val="24"/>
        </w:rPr>
        <w:t>concerned the appointment of commissioners</w:t>
      </w:r>
      <w:r w:rsidR="00023EFC">
        <w:rPr>
          <w:rFonts w:ascii="Times New Roman" w:hAnsi="Times New Roman"/>
          <w:sz w:val="24"/>
        </w:rPr>
        <w:t>, and t</w:t>
      </w:r>
      <w:r>
        <w:rPr>
          <w:rFonts w:ascii="Times New Roman" w:hAnsi="Times New Roman"/>
          <w:sz w:val="24"/>
        </w:rPr>
        <w:t xml:space="preserve">he evolution of this </w:t>
      </w:r>
      <w:r w:rsidR="007A5898">
        <w:rPr>
          <w:rFonts w:ascii="Times New Roman" w:hAnsi="Times New Roman"/>
          <w:sz w:val="24"/>
        </w:rPr>
        <w:t>single point illustrates</w:t>
      </w:r>
      <w:r w:rsidR="00D1160A">
        <w:rPr>
          <w:rFonts w:ascii="Times New Roman" w:hAnsi="Times New Roman"/>
          <w:sz w:val="24"/>
        </w:rPr>
        <w:t xml:space="preserve"> the </w:t>
      </w:r>
      <w:r w:rsidR="007A5898">
        <w:rPr>
          <w:rFonts w:ascii="Times New Roman" w:hAnsi="Times New Roman"/>
          <w:sz w:val="24"/>
        </w:rPr>
        <w:t>continuous</w:t>
      </w:r>
      <w:r w:rsidR="00023EFC">
        <w:rPr>
          <w:rFonts w:ascii="Times New Roman" w:hAnsi="Times New Roman"/>
          <w:sz w:val="24"/>
        </w:rPr>
        <w:t xml:space="preserve"> </w:t>
      </w:r>
      <w:r w:rsidR="00D1160A">
        <w:rPr>
          <w:rFonts w:ascii="Times New Roman" w:hAnsi="Times New Roman"/>
          <w:sz w:val="24"/>
        </w:rPr>
        <w:t xml:space="preserve">dilemma </w:t>
      </w:r>
      <w:r w:rsidR="007A5898">
        <w:rPr>
          <w:rFonts w:ascii="Times New Roman" w:hAnsi="Times New Roman"/>
          <w:sz w:val="24"/>
        </w:rPr>
        <w:t>faced by</w:t>
      </w:r>
      <w:r w:rsidR="003D24C0">
        <w:rPr>
          <w:rFonts w:ascii="Times New Roman" w:hAnsi="Times New Roman"/>
          <w:sz w:val="24"/>
        </w:rPr>
        <w:t xml:space="preserve"> the TRC’s advocates: </w:t>
      </w:r>
      <w:r w:rsidR="007A5898">
        <w:rPr>
          <w:rFonts w:ascii="Times New Roman" w:hAnsi="Times New Roman"/>
          <w:sz w:val="24"/>
        </w:rPr>
        <w:t xml:space="preserve">how </w:t>
      </w:r>
      <w:r w:rsidR="00D1160A">
        <w:rPr>
          <w:rFonts w:ascii="Times New Roman" w:hAnsi="Times New Roman"/>
          <w:sz w:val="24"/>
        </w:rPr>
        <w:t xml:space="preserve">to </w:t>
      </w:r>
      <w:r w:rsidR="007A5898">
        <w:rPr>
          <w:rFonts w:ascii="Times New Roman" w:hAnsi="Times New Roman"/>
          <w:sz w:val="24"/>
        </w:rPr>
        <w:t>make</w:t>
      </w:r>
      <w:r w:rsidR="009F262F">
        <w:rPr>
          <w:rFonts w:ascii="Times New Roman" w:hAnsi="Times New Roman"/>
          <w:sz w:val="24"/>
        </w:rPr>
        <w:t xml:space="preserve"> the </w:t>
      </w:r>
      <w:r w:rsidR="007A5898">
        <w:rPr>
          <w:rFonts w:ascii="Times New Roman" w:hAnsi="Times New Roman"/>
          <w:sz w:val="24"/>
        </w:rPr>
        <w:t>commission an authentic national institution</w:t>
      </w:r>
      <w:r w:rsidR="00337CBF">
        <w:rPr>
          <w:rFonts w:ascii="Times New Roman" w:hAnsi="Times New Roman"/>
          <w:sz w:val="24"/>
        </w:rPr>
        <w:t xml:space="preserve"> </w:t>
      </w:r>
      <w:r w:rsidR="00A2205B">
        <w:rPr>
          <w:rFonts w:ascii="Times New Roman" w:hAnsi="Times New Roman"/>
          <w:sz w:val="24"/>
        </w:rPr>
        <w:t>while</w:t>
      </w:r>
      <w:r w:rsidR="00FE7716">
        <w:rPr>
          <w:rFonts w:ascii="Times New Roman" w:hAnsi="Times New Roman"/>
          <w:sz w:val="24"/>
        </w:rPr>
        <w:t xml:space="preserve"> </w:t>
      </w:r>
      <w:r w:rsidR="007A5898">
        <w:rPr>
          <w:rFonts w:ascii="Times New Roman" w:hAnsi="Times New Roman"/>
          <w:sz w:val="24"/>
        </w:rPr>
        <w:t>preventing</w:t>
      </w:r>
      <w:r w:rsidR="00FE7716">
        <w:rPr>
          <w:rFonts w:ascii="Times New Roman" w:hAnsi="Times New Roman"/>
          <w:sz w:val="24"/>
        </w:rPr>
        <w:t xml:space="preserve"> </w:t>
      </w:r>
      <w:r w:rsidR="00BF2685">
        <w:rPr>
          <w:rFonts w:ascii="Times New Roman" w:hAnsi="Times New Roman"/>
          <w:sz w:val="24"/>
        </w:rPr>
        <w:t>nationalist</w:t>
      </w:r>
      <w:r w:rsidR="00907EFE">
        <w:rPr>
          <w:rFonts w:ascii="Times New Roman" w:hAnsi="Times New Roman"/>
          <w:sz w:val="24"/>
        </w:rPr>
        <w:t xml:space="preserve"> </w:t>
      </w:r>
      <w:r w:rsidR="00BF2685">
        <w:rPr>
          <w:rFonts w:ascii="Times New Roman" w:hAnsi="Times New Roman"/>
          <w:sz w:val="24"/>
        </w:rPr>
        <w:t>political leaders</w:t>
      </w:r>
      <w:r w:rsidR="00FE7716">
        <w:rPr>
          <w:rFonts w:ascii="Times New Roman" w:hAnsi="Times New Roman"/>
          <w:sz w:val="24"/>
        </w:rPr>
        <w:t xml:space="preserve"> </w:t>
      </w:r>
      <w:r w:rsidR="007A5898">
        <w:rPr>
          <w:rFonts w:ascii="Times New Roman" w:hAnsi="Times New Roman"/>
          <w:sz w:val="24"/>
        </w:rPr>
        <w:t>f</w:t>
      </w:r>
      <w:r w:rsidR="00FE7716">
        <w:rPr>
          <w:rFonts w:ascii="Times New Roman" w:hAnsi="Times New Roman"/>
          <w:sz w:val="24"/>
        </w:rPr>
        <w:t>rom</w:t>
      </w:r>
      <w:r w:rsidR="007A5898">
        <w:rPr>
          <w:rFonts w:ascii="Times New Roman" w:hAnsi="Times New Roman"/>
          <w:sz w:val="24"/>
        </w:rPr>
        <w:t xml:space="preserve"> </w:t>
      </w:r>
      <w:r w:rsidR="00A2205B">
        <w:rPr>
          <w:rFonts w:ascii="Times New Roman" w:hAnsi="Times New Roman"/>
          <w:sz w:val="24"/>
        </w:rPr>
        <w:t>appropriating</w:t>
      </w:r>
      <w:r w:rsidR="00FE7716">
        <w:rPr>
          <w:rFonts w:ascii="Times New Roman" w:hAnsi="Times New Roman"/>
          <w:sz w:val="24"/>
        </w:rPr>
        <w:t xml:space="preserve"> </w:t>
      </w:r>
      <w:r w:rsidR="0028327E">
        <w:rPr>
          <w:rFonts w:ascii="Times New Roman" w:hAnsi="Times New Roman"/>
          <w:sz w:val="24"/>
        </w:rPr>
        <w:t>it</w:t>
      </w:r>
      <w:r w:rsidR="009F262F">
        <w:rPr>
          <w:rFonts w:ascii="Times New Roman" w:hAnsi="Times New Roman"/>
          <w:sz w:val="24"/>
        </w:rPr>
        <w:t>.</w:t>
      </w:r>
      <w:r w:rsidR="006131B7">
        <w:rPr>
          <w:rFonts w:ascii="Times New Roman" w:hAnsi="Times New Roman"/>
          <w:sz w:val="24"/>
        </w:rPr>
        <w:t xml:space="preserve"> I</w:t>
      </w:r>
      <w:r w:rsidR="00EC6A54">
        <w:rPr>
          <w:rFonts w:ascii="Times New Roman" w:hAnsi="Times New Roman"/>
          <w:sz w:val="24"/>
        </w:rPr>
        <w:t xml:space="preserve">n </w:t>
      </w:r>
      <w:r w:rsidR="007A5898">
        <w:rPr>
          <w:rFonts w:ascii="Times New Roman" w:hAnsi="Times New Roman"/>
          <w:sz w:val="24"/>
        </w:rPr>
        <w:t xml:space="preserve">order to guarantee domestic legitimacy, </w:t>
      </w:r>
      <w:r w:rsidR="00023EFC">
        <w:rPr>
          <w:rFonts w:ascii="Times New Roman" w:hAnsi="Times New Roman"/>
          <w:sz w:val="24"/>
        </w:rPr>
        <w:t>there was</w:t>
      </w:r>
      <w:r w:rsidR="00FE7716">
        <w:rPr>
          <w:rFonts w:ascii="Times New Roman" w:hAnsi="Times New Roman"/>
          <w:sz w:val="24"/>
        </w:rPr>
        <w:t xml:space="preserve"> general agree</w:t>
      </w:r>
      <w:r w:rsidR="00023EFC">
        <w:rPr>
          <w:rFonts w:ascii="Times New Roman" w:hAnsi="Times New Roman"/>
          <w:sz w:val="24"/>
        </w:rPr>
        <w:t>ment</w:t>
      </w:r>
      <w:r w:rsidR="00970D9E">
        <w:rPr>
          <w:rFonts w:ascii="Times New Roman" w:hAnsi="Times New Roman"/>
          <w:sz w:val="24"/>
        </w:rPr>
        <w:t xml:space="preserve"> that </w:t>
      </w:r>
      <w:r w:rsidR="00FE7716">
        <w:rPr>
          <w:rFonts w:ascii="Times New Roman" w:hAnsi="Times New Roman"/>
          <w:sz w:val="24"/>
        </w:rPr>
        <w:t>commissioners</w:t>
      </w:r>
      <w:r w:rsidR="00337CBF">
        <w:rPr>
          <w:rFonts w:ascii="Times New Roman" w:hAnsi="Times New Roman"/>
          <w:sz w:val="24"/>
        </w:rPr>
        <w:t xml:space="preserve"> needed to be Bosnian citizens</w:t>
      </w:r>
      <w:r w:rsidR="008E38EA">
        <w:rPr>
          <w:rFonts w:ascii="Times New Roman" w:hAnsi="Times New Roman"/>
          <w:sz w:val="24"/>
        </w:rPr>
        <w:t xml:space="preserve"> and, i</w:t>
      </w:r>
      <w:r w:rsidR="00023EFC">
        <w:rPr>
          <w:rFonts w:ascii="Times New Roman" w:hAnsi="Times New Roman"/>
          <w:sz w:val="24"/>
        </w:rPr>
        <w:t xml:space="preserve">nitially, </w:t>
      </w:r>
      <w:r w:rsidR="00FE7716">
        <w:rPr>
          <w:rFonts w:ascii="Times New Roman" w:hAnsi="Times New Roman"/>
          <w:sz w:val="24"/>
        </w:rPr>
        <w:t xml:space="preserve">the plan was to </w:t>
      </w:r>
      <w:r w:rsidR="0028327E">
        <w:rPr>
          <w:rFonts w:ascii="Times New Roman" w:hAnsi="Times New Roman"/>
          <w:sz w:val="24"/>
        </w:rPr>
        <w:t>have</w:t>
      </w:r>
      <w:r w:rsidR="00337CBF">
        <w:rPr>
          <w:rFonts w:ascii="Times New Roman" w:hAnsi="Times New Roman"/>
          <w:sz w:val="24"/>
        </w:rPr>
        <w:t xml:space="preserve"> </w:t>
      </w:r>
      <w:r w:rsidR="00970D9E">
        <w:rPr>
          <w:rFonts w:ascii="Times New Roman" w:hAnsi="Times New Roman"/>
          <w:sz w:val="24"/>
        </w:rPr>
        <w:t xml:space="preserve">Bosnia’s collective presidency </w:t>
      </w:r>
      <w:r w:rsidR="00F7256B">
        <w:rPr>
          <w:rFonts w:ascii="Times New Roman" w:hAnsi="Times New Roman"/>
          <w:sz w:val="24"/>
        </w:rPr>
        <w:t>make the appointments</w:t>
      </w:r>
      <w:r w:rsidR="00FE7716">
        <w:rPr>
          <w:rFonts w:ascii="Times New Roman" w:hAnsi="Times New Roman"/>
          <w:sz w:val="24"/>
        </w:rPr>
        <w:t>. However,</w:t>
      </w:r>
      <w:r w:rsidR="00970D9E">
        <w:rPr>
          <w:rFonts w:ascii="Times New Roman" w:hAnsi="Times New Roman"/>
          <w:sz w:val="24"/>
        </w:rPr>
        <w:t xml:space="preserve"> as</w:t>
      </w:r>
      <w:r w:rsidR="00A65DC1">
        <w:rPr>
          <w:rFonts w:ascii="Times New Roman" w:hAnsi="Times New Roman"/>
          <w:sz w:val="24"/>
        </w:rPr>
        <w:t xml:space="preserve"> </w:t>
      </w:r>
      <w:r w:rsidR="00A65DC1">
        <w:rPr>
          <w:rFonts w:ascii="Times New Roman" w:hAnsi="Times New Roman"/>
          <w:sz w:val="24"/>
        </w:rPr>
        <w:lastRenderedPageBreak/>
        <w:t xml:space="preserve">Kritz and Finci </w:t>
      </w:r>
      <w:r w:rsidR="00387EF9">
        <w:rPr>
          <w:rFonts w:ascii="Times New Roman" w:hAnsi="Times New Roman"/>
          <w:sz w:val="24"/>
        </w:rPr>
        <w:t xml:space="preserve">later </w:t>
      </w:r>
      <w:r w:rsidR="00970D9E">
        <w:rPr>
          <w:rFonts w:ascii="Times New Roman" w:hAnsi="Times New Roman"/>
          <w:sz w:val="24"/>
        </w:rPr>
        <w:t>note</w:t>
      </w:r>
      <w:r w:rsidR="00387EF9">
        <w:rPr>
          <w:rFonts w:ascii="Times New Roman" w:hAnsi="Times New Roman"/>
          <w:sz w:val="24"/>
        </w:rPr>
        <w:t>d</w:t>
      </w:r>
      <w:r w:rsidR="00970D9E">
        <w:rPr>
          <w:rFonts w:ascii="Times New Roman" w:hAnsi="Times New Roman"/>
          <w:sz w:val="24"/>
        </w:rPr>
        <w:t xml:space="preserve">, </w:t>
      </w:r>
      <w:r w:rsidR="00A07126">
        <w:rPr>
          <w:rFonts w:ascii="Times New Roman" w:hAnsi="Times New Roman"/>
          <w:sz w:val="24"/>
        </w:rPr>
        <w:t xml:space="preserve">this </w:t>
      </w:r>
      <w:r w:rsidR="0028327E">
        <w:rPr>
          <w:rFonts w:ascii="Times New Roman" w:hAnsi="Times New Roman"/>
          <w:sz w:val="24"/>
        </w:rPr>
        <w:t>view was revised</w:t>
      </w:r>
      <w:r w:rsidR="00A07126">
        <w:rPr>
          <w:rFonts w:ascii="Times New Roman" w:hAnsi="Times New Roman"/>
          <w:sz w:val="24"/>
        </w:rPr>
        <w:t xml:space="preserve"> due to </w:t>
      </w:r>
      <w:r w:rsidR="00A65DC1">
        <w:rPr>
          <w:rFonts w:ascii="Times New Roman" w:hAnsi="Times New Roman"/>
          <w:sz w:val="24"/>
        </w:rPr>
        <w:t xml:space="preserve">the </w:t>
      </w:r>
      <w:r w:rsidR="00970D9E">
        <w:rPr>
          <w:rFonts w:ascii="Times New Roman" w:hAnsi="Times New Roman"/>
          <w:sz w:val="24"/>
        </w:rPr>
        <w:t xml:space="preserve">demands </w:t>
      </w:r>
      <w:r w:rsidR="001557A6">
        <w:rPr>
          <w:rFonts w:ascii="Times New Roman" w:hAnsi="Times New Roman"/>
          <w:sz w:val="24"/>
        </w:rPr>
        <w:t xml:space="preserve">made </w:t>
      </w:r>
      <w:r w:rsidR="00970D9E">
        <w:rPr>
          <w:rFonts w:ascii="Times New Roman" w:hAnsi="Times New Roman"/>
          <w:sz w:val="24"/>
        </w:rPr>
        <w:t>by</w:t>
      </w:r>
      <w:r w:rsidR="0078431D">
        <w:rPr>
          <w:rFonts w:ascii="Times New Roman" w:hAnsi="Times New Roman"/>
          <w:sz w:val="24"/>
        </w:rPr>
        <w:t xml:space="preserve"> the Serb member of the </w:t>
      </w:r>
      <w:r w:rsidR="00BF2685">
        <w:rPr>
          <w:rFonts w:ascii="Times New Roman" w:hAnsi="Times New Roman"/>
          <w:sz w:val="24"/>
        </w:rPr>
        <w:t>Bosnian state</w:t>
      </w:r>
      <w:r w:rsidR="0078431D">
        <w:rPr>
          <w:rFonts w:ascii="Times New Roman" w:hAnsi="Times New Roman"/>
          <w:sz w:val="24"/>
        </w:rPr>
        <w:t xml:space="preserve"> presidency</w:t>
      </w:r>
      <w:r w:rsidR="00970D9E">
        <w:rPr>
          <w:rFonts w:ascii="Times New Roman" w:hAnsi="Times New Roman"/>
          <w:sz w:val="24"/>
        </w:rPr>
        <w:t>,</w:t>
      </w:r>
      <w:r w:rsidR="00F7256B" w:rsidRPr="00F7256B">
        <w:rPr>
          <w:rFonts w:ascii="Times New Roman" w:hAnsi="Times New Roman"/>
          <w:sz w:val="24"/>
        </w:rPr>
        <w:t xml:space="preserve"> </w:t>
      </w:r>
      <w:r w:rsidR="00F7256B">
        <w:rPr>
          <w:rFonts w:ascii="Times New Roman" w:hAnsi="Times New Roman"/>
          <w:sz w:val="24"/>
        </w:rPr>
        <w:t>Mom</w:t>
      </w:r>
      <w:r w:rsidR="00F7256B">
        <w:rPr>
          <w:rFonts w:ascii="Times New Roman" w:hAnsi="Times New Roman" w:cs="Times New Roman"/>
          <w:sz w:val="24"/>
        </w:rPr>
        <w:t>č</w:t>
      </w:r>
      <w:r w:rsidR="00F7256B">
        <w:rPr>
          <w:rFonts w:ascii="Times New Roman" w:hAnsi="Times New Roman"/>
          <w:sz w:val="24"/>
        </w:rPr>
        <w:t>ilo Kraji</w:t>
      </w:r>
      <w:r w:rsidR="00F7256B">
        <w:rPr>
          <w:rFonts w:ascii="Times New Roman" w:hAnsi="Times New Roman" w:cs="Times New Roman"/>
          <w:sz w:val="24"/>
        </w:rPr>
        <w:t>š</w:t>
      </w:r>
      <w:r w:rsidR="00F7256B">
        <w:rPr>
          <w:rFonts w:ascii="Times New Roman" w:hAnsi="Times New Roman"/>
          <w:sz w:val="24"/>
        </w:rPr>
        <w:t xml:space="preserve">nik, </w:t>
      </w:r>
      <w:r w:rsidR="0078431D">
        <w:rPr>
          <w:rFonts w:ascii="Times New Roman" w:hAnsi="Times New Roman"/>
          <w:sz w:val="24"/>
        </w:rPr>
        <w:t>to personally select the Serb commission</w:t>
      </w:r>
      <w:r w:rsidR="005643FA">
        <w:rPr>
          <w:rFonts w:ascii="Times New Roman" w:hAnsi="Times New Roman"/>
          <w:sz w:val="24"/>
        </w:rPr>
        <w:t>ers</w:t>
      </w:r>
      <w:r w:rsidR="0078431D">
        <w:rPr>
          <w:rFonts w:ascii="Times New Roman" w:hAnsi="Times New Roman"/>
          <w:sz w:val="24"/>
        </w:rPr>
        <w:t xml:space="preserve"> and have vet</w:t>
      </w:r>
      <w:r w:rsidR="000B3DA3">
        <w:rPr>
          <w:rFonts w:ascii="Times New Roman" w:hAnsi="Times New Roman"/>
          <w:sz w:val="24"/>
        </w:rPr>
        <w:t>o</w:t>
      </w:r>
      <w:r w:rsidR="0078431D">
        <w:rPr>
          <w:rFonts w:ascii="Times New Roman" w:hAnsi="Times New Roman"/>
          <w:sz w:val="24"/>
        </w:rPr>
        <w:t xml:space="preserve"> pow</w:t>
      </w:r>
      <w:r w:rsidR="00A07126">
        <w:rPr>
          <w:rFonts w:ascii="Times New Roman" w:hAnsi="Times New Roman"/>
          <w:sz w:val="24"/>
        </w:rPr>
        <w:t>er over the commission’s report</w:t>
      </w:r>
      <w:r w:rsidR="0078431D">
        <w:rPr>
          <w:rFonts w:ascii="Times New Roman" w:hAnsi="Times New Roman"/>
          <w:sz w:val="24"/>
        </w:rPr>
        <w:t>.</w:t>
      </w:r>
      <w:r w:rsidR="0078431D">
        <w:rPr>
          <w:rStyle w:val="FootnoteReference"/>
          <w:rFonts w:ascii="Times New Roman" w:hAnsi="Times New Roman"/>
          <w:sz w:val="24"/>
        </w:rPr>
        <w:footnoteReference w:id="47"/>
      </w:r>
      <w:r w:rsidR="00A65DC1">
        <w:rPr>
          <w:rFonts w:ascii="Times New Roman" w:hAnsi="Times New Roman"/>
          <w:sz w:val="24"/>
        </w:rPr>
        <w:t xml:space="preserve"> </w:t>
      </w:r>
      <w:r w:rsidR="007A5898">
        <w:rPr>
          <w:rFonts w:ascii="Times New Roman" w:hAnsi="Times New Roman"/>
          <w:sz w:val="24"/>
        </w:rPr>
        <w:t xml:space="preserve">In the </w:t>
      </w:r>
      <w:r w:rsidR="00A2205B">
        <w:rPr>
          <w:rFonts w:ascii="Times New Roman" w:hAnsi="Times New Roman"/>
          <w:sz w:val="24"/>
        </w:rPr>
        <w:t xml:space="preserve">project’s </w:t>
      </w:r>
      <w:r w:rsidR="007A5898">
        <w:rPr>
          <w:rFonts w:ascii="Times New Roman" w:hAnsi="Times New Roman"/>
          <w:sz w:val="24"/>
        </w:rPr>
        <w:t>civil society phase, the concern over</w:t>
      </w:r>
      <w:r w:rsidR="006131B7">
        <w:rPr>
          <w:rFonts w:ascii="Times New Roman" w:hAnsi="Times New Roman"/>
          <w:sz w:val="24"/>
        </w:rPr>
        <w:t xml:space="preserve"> legitimacy </w:t>
      </w:r>
      <w:r w:rsidR="00A07126">
        <w:rPr>
          <w:rFonts w:ascii="Times New Roman" w:hAnsi="Times New Roman"/>
          <w:sz w:val="24"/>
        </w:rPr>
        <w:t xml:space="preserve">thus </w:t>
      </w:r>
      <w:r w:rsidR="007A5898">
        <w:rPr>
          <w:rFonts w:ascii="Times New Roman" w:hAnsi="Times New Roman"/>
          <w:sz w:val="24"/>
        </w:rPr>
        <w:t>came second to the desire to</w:t>
      </w:r>
      <w:r w:rsidR="006131B7">
        <w:rPr>
          <w:rFonts w:ascii="Times New Roman" w:hAnsi="Times New Roman"/>
          <w:sz w:val="24"/>
        </w:rPr>
        <w:t xml:space="preserve"> </w:t>
      </w:r>
      <w:r w:rsidR="00C17EB1">
        <w:rPr>
          <w:rFonts w:ascii="Times New Roman" w:hAnsi="Times New Roman"/>
          <w:sz w:val="24"/>
        </w:rPr>
        <w:t>limit</w:t>
      </w:r>
      <w:r w:rsidR="006131B7">
        <w:rPr>
          <w:rFonts w:ascii="Times New Roman" w:hAnsi="Times New Roman"/>
          <w:sz w:val="24"/>
        </w:rPr>
        <w:t xml:space="preserve"> the power of nationalist politicians</w:t>
      </w:r>
      <w:r w:rsidR="00C17EB1">
        <w:rPr>
          <w:rFonts w:ascii="Times New Roman" w:hAnsi="Times New Roman"/>
          <w:sz w:val="24"/>
        </w:rPr>
        <w:t xml:space="preserve">, </w:t>
      </w:r>
      <w:r w:rsidR="005A46A1">
        <w:rPr>
          <w:rFonts w:ascii="Times New Roman" w:hAnsi="Times New Roman"/>
          <w:sz w:val="24"/>
        </w:rPr>
        <w:t>and</w:t>
      </w:r>
      <w:r w:rsidR="00C17EB1">
        <w:rPr>
          <w:rFonts w:ascii="Times New Roman" w:hAnsi="Times New Roman"/>
          <w:sz w:val="24"/>
        </w:rPr>
        <w:t xml:space="preserve"> t</w:t>
      </w:r>
      <w:r w:rsidR="006613B6">
        <w:rPr>
          <w:rFonts w:ascii="Times New Roman" w:hAnsi="Times New Roman"/>
          <w:sz w:val="24"/>
        </w:rPr>
        <w:t xml:space="preserve">he 2001 draft </w:t>
      </w:r>
      <w:r w:rsidR="00A2205B">
        <w:rPr>
          <w:rFonts w:ascii="Times New Roman" w:hAnsi="Times New Roman"/>
          <w:sz w:val="24"/>
        </w:rPr>
        <w:t xml:space="preserve">gave the </w:t>
      </w:r>
      <w:r w:rsidR="00162EE9">
        <w:rPr>
          <w:rFonts w:ascii="Times New Roman" w:hAnsi="Times New Roman"/>
          <w:sz w:val="24"/>
        </w:rPr>
        <w:t>UN</w:t>
      </w:r>
      <w:r w:rsidR="00A2205B">
        <w:rPr>
          <w:rFonts w:ascii="Times New Roman" w:hAnsi="Times New Roman"/>
          <w:sz w:val="24"/>
        </w:rPr>
        <w:t xml:space="preserve"> Secretary General the power to appoint</w:t>
      </w:r>
      <w:r w:rsidR="005A46A1">
        <w:rPr>
          <w:rFonts w:ascii="Times New Roman" w:hAnsi="Times New Roman"/>
          <w:sz w:val="24"/>
        </w:rPr>
        <w:t xml:space="preserve"> the commissioners</w:t>
      </w:r>
      <w:r w:rsidR="0078431D">
        <w:rPr>
          <w:rFonts w:ascii="Times New Roman" w:hAnsi="Times New Roman"/>
          <w:sz w:val="24"/>
        </w:rPr>
        <w:t>.</w:t>
      </w:r>
      <w:r w:rsidR="0078431D">
        <w:rPr>
          <w:rStyle w:val="FootnoteReference"/>
          <w:rFonts w:ascii="Times New Roman" w:hAnsi="Times New Roman"/>
          <w:sz w:val="24"/>
        </w:rPr>
        <w:footnoteReference w:id="48"/>
      </w:r>
      <w:r w:rsidR="0078431D">
        <w:rPr>
          <w:rFonts w:ascii="Times New Roman" w:hAnsi="Times New Roman"/>
          <w:sz w:val="24"/>
        </w:rPr>
        <w:t xml:space="preserve"> However, by 2006</w:t>
      </w:r>
      <w:r w:rsidR="00221322">
        <w:rPr>
          <w:rFonts w:ascii="Times New Roman" w:hAnsi="Times New Roman"/>
          <w:sz w:val="24"/>
        </w:rPr>
        <w:t>,</w:t>
      </w:r>
      <w:r w:rsidR="0078431D">
        <w:rPr>
          <w:rFonts w:ascii="Times New Roman" w:hAnsi="Times New Roman"/>
          <w:sz w:val="24"/>
        </w:rPr>
        <w:t xml:space="preserve"> th</w:t>
      </w:r>
      <w:r w:rsidR="00A07126">
        <w:rPr>
          <w:rFonts w:ascii="Times New Roman" w:hAnsi="Times New Roman"/>
          <w:sz w:val="24"/>
        </w:rPr>
        <w:t>is</w:t>
      </w:r>
      <w:r w:rsidR="0078431D">
        <w:rPr>
          <w:rFonts w:ascii="Times New Roman" w:hAnsi="Times New Roman"/>
          <w:sz w:val="24"/>
        </w:rPr>
        <w:t xml:space="preserve"> changed again</w:t>
      </w:r>
      <w:r w:rsidR="00EC6A54">
        <w:rPr>
          <w:rFonts w:ascii="Times New Roman" w:hAnsi="Times New Roman"/>
          <w:sz w:val="24"/>
        </w:rPr>
        <w:t>,</w:t>
      </w:r>
      <w:r w:rsidR="006131B7">
        <w:rPr>
          <w:rFonts w:ascii="Times New Roman" w:hAnsi="Times New Roman"/>
          <w:sz w:val="24"/>
        </w:rPr>
        <w:t xml:space="preserve"> making</w:t>
      </w:r>
      <w:r w:rsidR="0078431D">
        <w:rPr>
          <w:rFonts w:ascii="Times New Roman" w:hAnsi="Times New Roman"/>
          <w:sz w:val="24"/>
        </w:rPr>
        <w:t xml:space="preserve"> </w:t>
      </w:r>
      <w:r w:rsidR="006613B6">
        <w:rPr>
          <w:rFonts w:ascii="Times New Roman" w:hAnsi="Times New Roman"/>
          <w:sz w:val="24"/>
        </w:rPr>
        <w:t>the commissioners’ selection</w:t>
      </w:r>
      <w:r w:rsidR="001557A6">
        <w:rPr>
          <w:rFonts w:ascii="Times New Roman" w:hAnsi="Times New Roman"/>
          <w:sz w:val="24"/>
        </w:rPr>
        <w:t xml:space="preserve"> </w:t>
      </w:r>
      <w:r w:rsidR="006131B7">
        <w:rPr>
          <w:rFonts w:ascii="Times New Roman" w:hAnsi="Times New Roman"/>
          <w:sz w:val="24"/>
        </w:rPr>
        <w:t>the remit of</w:t>
      </w:r>
      <w:r w:rsidR="00FE7716">
        <w:rPr>
          <w:rFonts w:ascii="Times New Roman" w:hAnsi="Times New Roman"/>
          <w:sz w:val="24"/>
        </w:rPr>
        <w:t xml:space="preserve"> a</w:t>
      </w:r>
      <w:r w:rsidR="00260454">
        <w:rPr>
          <w:rFonts w:ascii="Times New Roman" w:hAnsi="Times New Roman"/>
          <w:sz w:val="24"/>
        </w:rPr>
        <w:t xml:space="preserve"> </w:t>
      </w:r>
      <w:r w:rsidR="006613B6">
        <w:rPr>
          <w:rFonts w:ascii="Times New Roman" w:hAnsi="Times New Roman"/>
          <w:sz w:val="24"/>
        </w:rPr>
        <w:t xml:space="preserve">hybrid </w:t>
      </w:r>
      <w:r w:rsidR="00A2205B">
        <w:rPr>
          <w:rFonts w:ascii="Times New Roman" w:hAnsi="Times New Roman"/>
          <w:sz w:val="24"/>
        </w:rPr>
        <w:t xml:space="preserve">parliamentary </w:t>
      </w:r>
      <w:r w:rsidR="0078431D">
        <w:rPr>
          <w:rFonts w:ascii="Times New Roman" w:hAnsi="Times New Roman"/>
          <w:sz w:val="24"/>
        </w:rPr>
        <w:t xml:space="preserve">‘Nomination Committee’ </w:t>
      </w:r>
      <w:r w:rsidR="00FE7716">
        <w:rPr>
          <w:rFonts w:ascii="Times New Roman" w:hAnsi="Times New Roman"/>
          <w:sz w:val="24"/>
        </w:rPr>
        <w:t>comprised</w:t>
      </w:r>
      <w:r w:rsidR="0078431D">
        <w:rPr>
          <w:rFonts w:ascii="Times New Roman" w:hAnsi="Times New Roman"/>
          <w:sz w:val="24"/>
        </w:rPr>
        <w:t xml:space="preserve"> of </w:t>
      </w:r>
      <w:r w:rsidR="00D34B52">
        <w:rPr>
          <w:rFonts w:ascii="Times New Roman" w:hAnsi="Times New Roman"/>
          <w:sz w:val="24"/>
        </w:rPr>
        <w:t>delegates</w:t>
      </w:r>
      <w:r w:rsidR="0078431D">
        <w:rPr>
          <w:rFonts w:ascii="Times New Roman" w:hAnsi="Times New Roman"/>
          <w:sz w:val="24"/>
        </w:rPr>
        <w:t xml:space="preserve"> of the </w:t>
      </w:r>
      <w:r w:rsidR="006131B7">
        <w:rPr>
          <w:rFonts w:ascii="Times New Roman" w:hAnsi="Times New Roman"/>
          <w:sz w:val="24"/>
        </w:rPr>
        <w:t>political</w:t>
      </w:r>
      <w:r w:rsidR="0078431D">
        <w:rPr>
          <w:rFonts w:ascii="Times New Roman" w:hAnsi="Times New Roman"/>
          <w:sz w:val="24"/>
        </w:rPr>
        <w:t xml:space="preserve"> </w:t>
      </w:r>
      <w:r w:rsidR="006613B6">
        <w:rPr>
          <w:rFonts w:ascii="Times New Roman" w:hAnsi="Times New Roman"/>
          <w:sz w:val="24"/>
        </w:rPr>
        <w:t>parties</w:t>
      </w:r>
      <w:r w:rsidR="0078431D">
        <w:rPr>
          <w:rFonts w:ascii="Times New Roman" w:hAnsi="Times New Roman"/>
          <w:sz w:val="24"/>
        </w:rPr>
        <w:t xml:space="preserve">, </w:t>
      </w:r>
      <w:r w:rsidR="00970D9E">
        <w:rPr>
          <w:rFonts w:ascii="Times New Roman" w:hAnsi="Times New Roman"/>
          <w:sz w:val="24"/>
        </w:rPr>
        <w:t>civil society and the Bosnian High Court</w:t>
      </w:r>
      <w:r w:rsidR="006613B6">
        <w:rPr>
          <w:rFonts w:ascii="Times New Roman" w:hAnsi="Times New Roman"/>
          <w:sz w:val="24"/>
        </w:rPr>
        <w:t>, along with representatives of international organizations</w:t>
      </w:r>
      <w:r w:rsidR="008D7DA2">
        <w:rPr>
          <w:rFonts w:ascii="Times New Roman" w:hAnsi="Times New Roman"/>
          <w:sz w:val="24"/>
        </w:rPr>
        <w:t>.</w:t>
      </w:r>
      <w:r w:rsidR="008D7DA2">
        <w:rPr>
          <w:rStyle w:val="FootnoteReference"/>
          <w:rFonts w:ascii="Times New Roman" w:hAnsi="Times New Roman"/>
          <w:sz w:val="24"/>
        </w:rPr>
        <w:footnoteReference w:id="49"/>
      </w:r>
      <w:r w:rsidR="00023EFC">
        <w:rPr>
          <w:rFonts w:ascii="Times New Roman" w:hAnsi="Times New Roman"/>
          <w:sz w:val="24"/>
        </w:rPr>
        <w:t xml:space="preserve"> </w:t>
      </w:r>
      <w:r w:rsidR="0028327E">
        <w:rPr>
          <w:rFonts w:ascii="Times New Roman" w:hAnsi="Times New Roman"/>
          <w:sz w:val="24"/>
        </w:rPr>
        <w:t>B</w:t>
      </w:r>
      <w:r w:rsidR="00BF2685">
        <w:rPr>
          <w:rFonts w:ascii="Times New Roman" w:hAnsi="Times New Roman"/>
          <w:sz w:val="24"/>
        </w:rPr>
        <w:t>roadening the process of</w:t>
      </w:r>
      <w:r w:rsidR="00023EFC">
        <w:rPr>
          <w:rFonts w:ascii="Times New Roman" w:hAnsi="Times New Roman"/>
          <w:sz w:val="24"/>
        </w:rPr>
        <w:t xml:space="preserve"> selectin</w:t>
      </w:r>
      <w:r w:rsidR="00BF2685">
        <w:rPr>
          <w:rFonts w:ascii="Times New Roman" w:hAnsi="Times New Roman"/>
          <w:sz w:val="24"/>
        </w:rPr>
        <w:t>g</w:t>
      </w:r>
      <w:r w:rsidR="00023EFC">
        <w:rPr>
          <w:rFonts w:ascii="Times New Roman" w:hAnsi="Times New Roman"/>
          <w:sz w:val="24"/>
        </w:rPr>
        <w:t xml:space="preserve"> commissioners</w:t>
      </w:r>
      <w:r w:rsidR="0028327E">
        <w:rPr>
          <w:rFonts w:ascii="Times New Roman" w:hAnsi="Times New Roman"/>
          <w:sz w:val="24"/>
        </w:rPr>
        <w:t xml:space="preserve"> sought</w:t>
      </w:r>
      <w:r w:rsidR="00EC6A54">
        <w:rPr>
          <w:rFonts w:ascii="Times New Roman" w:hAnsi="Times New Roman"/>
          <w:sz w:val="24"/>
        </w:rPr>
        <w:t xml:space="preserve"> to ensure</w:t>
      </w:r>
      <w:r w:rsidR="00023EFC">
        <w:rPr>
          <w:rFonts w:ascii="Times New Roman" w:hAnsi="Times New Roman"/>
          <w:sz w:val="24"/>
        </w:rPr>
        <w:t xml:space="preserve"> local legitimacy </w:t>
      </w:r>
      <w:r w:rsidR="008E38EA">
        <w:rPr>
          <w:rFonts w:ascii="Times New Roman" w:hAnsi="Times New Roman"/>
          <w:sz w:val="24"/>
        </w:rPr>
        <w:t>while maintaining</w:t>
      </w:r>
      <w:r w:rsidR="00023EFC">
        <w:rPr>
          <w:rFonts w:ascii="Times New Roman" w:hAnsi="Times New Roman"/>
          <w:sz w:val="24"/>
        </w:rPr>
        <w:t xml:space="preserve"> </w:t>
      </w:r>
      <w:r w:rsidR="00BF2685">
        <w:rPr>
          <w:rFonts w:ascii="Times New Roman" w:hAnsi="Times New Roman"/>
          <w:sz w:val="24"/>
        </w:rPr>
        <w:t xml:space="preserve">international </w:t>
      </w:r>
      <w:r w:rsidR="009E6C5C">
        <w:rPr>
          <w:rFonts w:ascii="Times New Roman" w:hAnsi="Times New Roman"/>
          <w:sz w:val="24"/>
        </w:rPr>
        <w:t>oversight</w:t>
      </w:r>
      <w:r w:rsidR="00023EFC">
        <w:rPr>
          <w:rFonts w:ascii="Times New Roman" w:hAnsi="Times New Roman"/>
          <w:sz w:val="24"/>
        </w:rPr>
        <w:t>.</w:t>
      </w:r>
      <w:r w:rsidR="005A46A1">
        <w:rPr>
          <w:rFonts w:ascii="Times New Roman" w:hAnsi="Times New Roman"/>
          <w:sz w:val="24"/>
        </w:rPr>
        <w:t xml:space="preserve"> </w:t>
      </w:r>
    </w:p>
    <w:p w:rsidR="00FE4E8C" w:rsidRDefault="00221322" w:rsidP="00162EE9">
      <w:pPr>
        <w:spacing w:after="0" w:line="360" w:lineRule="auto"/>
        <w:ind w:firstLine="720"/>
        <w:rPr>
          <w:rFonts w:ascii="Times New Roman" w:hAnsi="Times New Roman"/>
          <w:sz w:val="24"/>
        </w:rPr>
      </w:pPr>
      <w:r>
        <w:rPr>
          <w:rFonts w:ascii="Times New Roman" w:hAnsi="Times New Roman"/>
          <w:sz w:val="24"/>
        </w:rPr>
        <w:t>However, ultimately</w:t>
      </w:r>
      <w:r w:rsidR="005A46A1">
        <w:rPr>
          <w:rFonts w:ascii="Times New Roman" w:hAnsi="Times New Roman"/>
          <w:sz w:val="24"/>
        </w:rPr>
        <w:t xml:space="preserve"> none of th</w:t>
      </w:r>
      <w:r w:rsidR="00162EE9">
        <w:rPr>
          <w:rFonts w:ascii="Times New Roman" w:hAnsi="Times New Roman"/>
          <w:sz w:val="24"/>
        </w:rPr>
        <w:t>ese solutions ever materialised. The parliamentary working group’s first press release in March 2006—</w:t>
      </w:r>
      <w:r w:rsidR="00F97AAC">
        <w:rPr>
          <w:rFonts w:ascii="Times New Roman" w:hAnsi="Times New Roman"/>
          <w:sz w:val="24"/>
        </w:rPr>
        <w:t>informing</w:t>
      </w:r>
      <w:r w:rsidR="00162EE9">
        <w:rPr>
          <w:rFonts w:ascii="Times New Roman" w:hAnsi="Times New Roman"/>
          <w:sz w:val="24"/>
        </w:rPr>
        <w:t xml:space="preserve"> </w:t>
      </w:r>
      <w:r w:rsidR="00F97AAC">
        <w:rPr>
          <w:rFonts w:ascii="Times New Roman" w:hAnsi="Times New Roman"/>
          <w:sz w:val="24"/>
        </w:rPr>
        <w:t xml:space="preserve">the public that </w:t>
      </w:r>
      <w:r w:rsidR="00162EE9">
        <w:rPr>
          <w:rFonts w:ascii="Times New Roman" w:hAnsi="Times New Roman"/>
          <w:sz w:val="24"/>
        </w:rPr>
        <w:t xml:space="preserve">it had begun </w:t>
      </w:r>
      <w:r w:rsidR="00F97AAC">
        <w:rPr>
          <w:rFonts w:ascii="Times New Roman" w:hAnsi="Times New Roman"/>
          <w:sz w:val="24"/>
        </w:rPr>
        <w:t xml:space="preserve">consultations with </w:t>
      </w:r>
      <w:r w:rsidR="00A2205B">
        <w:rPr>
          <w:rFonts w:ascii="Times New Roman" w:hAnsi="Times New Roman"/>
          <w:sz w:val="24"/>
        </w:rPr>
        <w:t>Bosnia’s</w:t>
      </w:r>
      <w:r w:rsidR="00F97AAC">
        <w:rPr>
          <w:rFonts w:ascii="Times New Roman" w:hAnsi="Times New Roman"/>
          <w:sz w:val="24"/>
        </w:rPr>
        <w:t xml:space="preserve"> NGOs </w:t>
      </w:r>
      <w:r w:rsidR="00A2205B">
        <w:rPr>
          <w:rFonts w:ascii="Times New Roman" w:hAnsi="Times New Roman"/>
          <w:sz w:val="24"/>
        </w:rPr>
        <w:t>, the</w:t>
      </w:r>
      <w:r w:rsidR="00F97AAC">
        <w:rPr>
          <w:rFonts w:ascii="Times New Roman" w:hAnsi="Times New Roman"/>
          <w:sz w:val="24"/>
        </w:rPr>
        <w:t xml:space="preserve"> state prosecutor and relevant ministries and that it would </w:t>
      </w:r>
      <w:r w:rsidR="00162EE9">
        <w:rPr>
          <w:rFonts w:ascii="Times New Roman" w:hAnsi="Times New Roman"/>
          <w:sz w:val="24"/>
        </w:rPr>
        <w:t>shortly make</w:t>
      </w:r>
      <w:r w:rsidR="00F97AAC">
        <w:rPr>
          <w:rFonts w:ascii="Times New Roman" w:hAnsi="Times New Roman"/>
          <w:sz w:val="24"/>
        </w:rPr>
        <w:t xml:space="preserve"> the draft law available to t</w:t>
      </w:r>
      <w:r w:rsidR="0028327E">
        <w:rPr>
          <w:rFonts w:ascii="Times New Roman" w:hAnsi="Times New Roman"/>
          <w:sz w:val="24"/>
        </w:rPr>
        <w:t>he public for further debate</w:t>
      </w:r>
      <w:r w:rsidR="00162EE9">
        <w:rPr>
          <w:rFonts w:ascii="Times New Roman" w:hAnsi="Times New Roman"/>
          <w:sz w:val="24"/>
        </w:rPr>
        <w:t>—was also its last communication</w:t>
      </w:r>
      <w:r w:rsidR="00F97AAC">
        <w:rPr>
          <w:rFonts w:ascii="Times New Roman" w:hAnsi="Times New Roman"/>
          <w:sz w:val="24"/>
        </w:rPr>
        <w:t>.</w:t>
      </w:r>
      <w:r w:rsidR="00F97AAC">
        <w:rPr>
          <w:rStyle w:val="FootnoteReference"/>
          <w:rFonts w:ascii="Times New Roman" w:hAnsi="Times New Roman"/>
          <w:sz w:val="24"/>
        </w:rPr>
        <w:footnoteReference w:id="50"/>
      </w:r>
      <w:r w:rsidR="009F2E39">
        <w:rPr>
          <w:rFonts w:ascii="Times New Roman" w:hAnsi="Times New Roman"/>
          <w:sz w:val="24"/>
        </w:rPr>
        <w:t xml:space="preserve"> </w:t>
      </w:r>
      <w:r w:rsidR="00E355F5">
        <w:rPr>
          <w:rFonts w:ascii="Times New Roman" w:hAnsi="Times New Roman"/>
          <w:sz w:val="24"/>
        </w:rPr>
        <w:t xml:space="preserve">A few weeks later, the Bosnian parliament narrowly rejected the </w:t>
      </w:r>
      <w:r w:rsidR="002B5CD2">
        <w:rPr>
          <w:rFonts w:ascii="Times New Roman" w:hAnsi="Times New Roman"/>
          <w:sz w:val="24"/>
        </w:rPr>
        <w:t>constitutional reform</w:t>
      </w:r>
      <w:r w:rsidR="00260454">
        <w:rPr>
          <w:rFonts w:ascii="Times New Roman" w:hAnsi="Times New Roman"/>
          <w:sz w:val="24"/>
        </w:rPr>
        <w:t xml:space="preserve"> package</w:t>
      </w:r>
      <w:r w:rsidR="00E355F5">
        <w:rPr>
          <w:rFonts w:ascii="Times New Roman" w:hAnsi="Times New Roman"/>
          <w:sz w:val="24"/>
        </w:rPr>
        <w:t xml:space="preserve"> that Hays had negotiated with the party leaders</w:t>
      </w:r>
      <w:r w:rsidR="00852930">
        <w:rPr>
          <w:rFonts w:ascii="Times New Roman" w:hAnsi="Times New Roman"/>
          <w:sz w:val="24"/>
        </w:rPr>
        <w:t>,</w:t>
      </w:r>
      <w:r w:rsidR="00213958">
        <w:rPr>
          <w:rFonts w:ascii="Times New Roman" w:hAnsi="Times New Roman"/>
          <w:sz w:val="24"/>
        </w:rPr>
        <w:t xml:space="preserve"> which</w:t>
      </w:r>
      <w:r w:rsidR="002B5CD2">
        <w:rPr>
          <w:rFonts w:ascii="Times New Roman" w:hAnsi="Times New Roman"/>
          <w:sz w:val="24"/>
        </w:rPr>
        <w:t xml:space="preserve"> result</w:t>
      </w:r>
      <w:r w:rsidR="00213958">
        <w:rPr>
          <w:rFonts w:ascii="Times New Roman" w:hAnsi="Times New Roman"/>
          <w:sz w:val="24"/>
        </w:rPr>
        <w:t>ed</w:t>
      </w:r>
      <w:r w:rsidR="002B5CD2">
        <w:rPr>
          <w:rFonts w:ascii="Times New Roman" w:hAnsi="Times New Roman"/>
          <w:sz w:val="24"/>
        </w:rPr>
        <w:t xml:space="preserve"> in the withdrawal of</w:t>
      </w:r>
      <w:r w:rsidR="00852930">
        <w:rPr>
          <w:rFonts w:ascii="Times New Roman" w:hAnsi="Times New Roman"/>
          <w:sz w:val="24"/>
        </w:rPr>
        <w:t xml:space="preserve"> </w:t>
      </w:r>
      <w:r w:rsidR="002B5CD2">
        <w:rPr>
          <w:rFonts w:ascii="Times New Roman" w:hAnsi="Times New Roman"/>
          <w:sz w:val="24"/>
        </w:rPr>
        <w:t>external support</w:t>
      </w:r>
      <w:r w:rsidR="00260454">
        <w:rPr>
          <w:rFonts w:ascii="Times New Roman" w:hAnsi="Times New Roman"/>
          <w:sz w:val="24"/>
        </w:rPr>
        <w:t>, along with</w:t>
      </w:r>
      <w:r w:rsidR="002B5CD2">
        <w:rPr>
          <w:rFonts w:ascii="Times New Roman" w:hAnsi="Times New Roman"/>
          <w:sz w:val="24"/>
        </w:rPr>
        <w:t xml:space="preserve"> </w:t>
      </w:r>
      <w:r w:rsidR="001557A6">
        <w:rPr>
          <w:rFonts w:ascii="Times New Roman" w:hAnsi="Times New Roman"/>
          <w:sz w:val="24"/>
        </w:rPr>
        <w:t>the end</w:t>
      </w:r>
      <w:r w:rsidR="002B5CD2">
        <w:rPr>
          <w:rFonts w:ascii="Times New Roman" w:hAnsi="Times New Roman"/>
          <w:sz w:val="24"/>
        </w:rPr>
        <w:t xml:space="preserve"> of the discussions about</w:t>
      </w:r>
      <w:r w:rsidR="00852930">
        <w:rPr>
          <w:rFonts w:ascii="Times New Roman" w:hAnsi="Times New Roman"/>
          <w:sz w:val="24"/>
        </w:rPr>
        <w:t xml:space="preserve"> the </w:t>
      </w:r>
      <w:r w:rsidR="00C17EB1">
        <w:rPr>
          <w:rFonts w:ascii="Times New Roman" w:hAnsi="Times New Roman"/>
          <w:sz w:val="24"/>
        </w:rPr>
        <w:t>TRC</w:t>
      </w:r>
      <w:r w:rsidR="0088414F">
        <w:rPr>
          <w:rFonts w:ascii="Times New Roman" w:hAnsi="Times New Roman"/>
          <w:sz w:val="24"/>
        </w:rPr>
        <w:t>.</w:t>
      </w:r>
      <w:r w:rsidR="0088414F">
        <w:rPr>
          <w:rStyle w:val="FootnoteReference"/>
          <w:rFonts w:ascii="Times New Roman" w:hAnsi="Times New Roman"/>
          <w:sz w:val="24"/>
        </w:rPr>
        <w:footnoteReference w:id="51"/>
      </w:r>
      <w:r w:rsidR="0088414F">
        <w:rPr>
          <w:rFonts w:ascii="Times New Roman" w:hAnsi="Times New Roman"/>
          <w:sz w:val="24"/>
        </w:rPr>
        <w:t xml:space="preserve"> Although there </w:t>
      </w:r>
      <w:r w:rsidR="002B5CD2">
        <w:rPr>
          <w:rFonts w:ascii="Times New Roman" w:hAnsi="Times New Roman"/>
          <w:sz w:val="24"/>
        </w:rPr>
        <w:t>was</w:t>
      </w:r>
      <w:r w:rsidR="0088414F">
        <w:rPr>
          <w:rFonts w:ascii="Times New Roman" w:hAnsi="Times New Roman"/>
          <w:sz w:val="24"/>
        </w:rPr>
        <w:t xml:space="preserve"> no formal link between constitutional reform and the </w:t>
      </w:r>
      <w:r w:rsidR="00C17EB1">
        <w:rPr>
          <w:rFonts w:ascii="Times New Roman" w:hAnsi="Times New Roman"/>
          <w:sz w:val="24"/>
        </w:rPr>
        <w:t>commission</w:t>
      </w:r>
      <w:r w:rsidR="0088414F">
        <w:rPr>
          <w:rFonts w:ascii="Times New Roman" w:hAnsi="Times New Roman"/>
          <w:sz w:val="24"/>
        </w:rPr>
        <w:t xml:space="preserve"> project, </w:t>
      </w:r>
      <w:r w:rsidR="001557A6">
        <w:rPr>
          <w:rFonts w:ascii="Times New Roman" w:hAnsi="Times New Roman"/>
          <w:sz w:val="24"/>
        </w:rPr>
        <w:t>it was nevertheless</w:t>
      </w:r>
      <w:r w:rsidR="0088414F">
        <w:rPr>
          <w:rFonts w:ascii="Times New Roman" w:hAnsi="Times New Roman"/>
          <w:sz w:val="24"/>
        </w:rPr>
        <w:t xml:space="preserve"> clear that the lack of </w:t>
      </w:r>
      <w:r w:rsidR="00852930">
        <w:rPr>
          <w:rFonts w:ascii="Times New Roman" w:hAnsi="Times New Roman"/>
          <w:sz w:val="24"/>
        </w:rPr>
        <w:t xml:space="preserve">political </w:t>
      </w:r>
      <w:r w:rsidR="0088414F">
        <w:rPr>
          <w:rFonts w:ascii="Times New Roman" w:hAnsi="Times New Roman"/>
          <w:sz w:val="24"/>
        </w:rPr>
        <w:t xml:space="preserve">agreement on </w:t>
      </w:r>
      <w:r w:rsidR="00017DC9">
        <w:rPr>
          <w:rFonts w:ascii="Times New Roman" w:hAnsi="Times New Roman"/>
          <w:sz w:val="24"/>
        </w:rPr>
        <w:t xml:space="preserve">the </w:t>
      </w:r>
      <w:r w:rsidR="00F7256B">
        <w:rPr>
          <w:rFonts w:ascii="Times New Roman" w:hAnsi="Times New Roman"/>
          <w:sz w:val="24"/>
        </w:rPr>
        <w:t>nature of</w:t>
      </w:r>
      <w:r w:rsidR="0088414F">
        <w:rPr>
          <w:rFonts w:ascii="Times New Roman" w:hAnsi="Times New Roman"/>
          <w:sz w:val="24"/>
        </w:rPr>
        <w:t xml:space="preserve"> </w:t>
      </w:r>
      <w:r w:rsidR="00F7256B">
        <w:rPr>
          <w:rFonts w:ascii="Times New Roman" w:hAnsi="Times New Roman"/>
          <w:sz w:val="24"/>
        </w:rPr>
        <w:t xml:space="preserve">the </w:t>
      </w:r>
      <w:r w:rsidR="0088414F">
        <w:rPr>
          <w:rFonts w:ascii="Times New Roman" w:hAnsi="Times New Roman"/>
          <w:sz w:val="24"/>
        </w:rPr>
        <w:t>Bosnia</w:t>
      </w:r>
      <w:r w:rsidR="00F7256B">
        <w:rPr>
          <w:rFonts w:ascii="Times New Roman" w:hAnsi="Times New Roman"/>
          <w:sz w:val="24"/>
        </w:rPr>
        <w:t>n state</w:t>
      </w:r>
      <w:r w:rsidR="002B5CD2">
        <w:rPr>
          <w:rFonts w:ascii="Times New Roman" w:hAnsi="Times New Roman"/>
          <w:sz w:val="24"/>
        </w:rPr>
        <w:t xml:space="preserve"> </w:t>
      </w:r>
      <w:r w:rsidR="001557A6">
        <w:rPr>
          <w:rFonts w:ascii="Times New Roman" w:hAnsi="Times New Roman"/>
          <w:sz w:val="24"/>
        </w:rPr>
        <w:t>also implied the end of</w:t>
      </w:r>
      <w:r w:rsidR="0088414F">
        <w:rPr>
          <w:rFonts w:ascii="Times New Roman" w:hAnsi="Times New Roman"/>
          <w:sz w:val="24"/>
        </w:rPr>
        <w:t xml:space="preserve"> the TRC</w:t>
      </w:r>
      <w:r w:rsidR="00017DC9">
        <w:rPr>
          <w:rFonts w:ascii="Times New Roman" w:hAnsi="Times New Roman"/>
          <w:sz w:val="24"/>
        </w:rPr>
        <w:t xml:space="preserve"> </w:t>
      </w:r>
      <w:r w:rsidR="00852930">
        <w:rPr>
          <w:rFonts w:ascii="Times New Roman" w:hAnsi="Times New Roman"/>
          <w:sz w:val="24"/>
        </w:rPr>
        <w:t xml:space="preserve">initiative </w:t>
      </w:r>
      <w:r w:rsidR="00017DC9">
        <w:rPr>
          <w:rFonts w:ascii="Times New Roman" w:hAnsi="Times New Roman"/>
          <w:sz w:val="24"/>
        </w:rPr>
        <w:t>as th</w:t>
      </w:r>
      <w:r w:rsidR="002B5CD2">
        <w:rPr>
          <w:rFonts w:ascii="Times New Roman" w:hAnsi="Times New Roman"/>
          <w:sz w:val="24"/>
        </w:rPr>
        <w:t>at</w:t>
      </w:r>
      <w:r w:rsidR="00017DC9">
        <w:rPr>
          <w:rFonts w:ascii="Times New Roman" w:hAnsi="Times New Roman"/>
          <w:sz w:val="24"/>
        </w:rPr>
        <w:t xml:space="preserve"> state’s nation-building </w:t>
      </w:r>
      <w:r w:rsidR="002B5CD2">
        <w:rPr>
          <w:rFonts w:ascii="Times New Roman" w:hAnsi="Times New Roman"/>
          <w:sz w:val="24"/>
        </w:rPr>
        <w:t>project</w:t>
      </w:r>
      <w:r w:rsidR="0088414F">
        <w:rPr>
          <w:rFonts w:ascii="Times New Roman" w:hAnsi="Times New Roman"/>
          <w:sz w:val="24"/>
        </w:rPr>
        <w:t>.</w:t>
      </w:r>
      <w:r w:rsidR="00C17EB1">
        <w:rPr>
          <w:rFonts w:ascii="Times New Roman" w:hAnsi="Times New Roman"/>
          <w:sz w:val="24"/>
        </w:rPr>
        <w:t xml:space="preserve"> </w:t>
      </w:r>
      <w:r w:rsidR="00ED341E">
        <w:rPr>
          <w:rFonts w:ascii="Times New Roman" w:hAnsi="Times New Roman"/>
          <w:sz w:val="24"/>
        </w:rPr>
        <w:t>Without international support</w:t>
      </w:r>
      <w:r w:rsidR="00C17EB1">
        <w:rPr>
          <w:rFonts w:ascii="Times New Roman" w:hAnsi="Times New Roman"/>
          <w:sz w:val="24"/>
        </w:rPr>
        <w:t>, the truth commission idea simply did not have enough traction within Bosnia’s political establishment to continue.</w:t>
      </w:r>
    </w:p>
    <w:p w:rsidR="003B1621" w:rsidRDefault="003B1621" w:rsidP="007F5025">
      <w:pPr>
        <w:spacing w:after="0" w:line="360" w:lineRule="auto"/>
        <w:ind w:firstLine="720"/>
        <w:rPr>
          <w:rFonts w:ascii="Times New Roman" w:hAnsi="Times New Roman"/>
          <w:sz w:val="24"/>
        </w:rPr>
      </w:pPr>
      <w:r>
        <w:rPr>
          <w:rFonts w:ascii="Times New Roman" w:hAnsi="Times New Roman"/>
          <w:sz w:val="24"/>
        </w:rPr>
        <w:t xml:space="preserve">Having recounted the many steps taken over several years to try to establish a national TRC </w:t>
      </w:r>
      <w:r w:rsidR="00162EE9">
        <w:rPr>
          <w:rFonts w:ascii="Times New Roman" w:hAnsi="Times New Roman"/>
          <w:sz w:val="24"/>
        </w:rPr>
        <w:t>that would achieve</w:t>
      </w:r>
      <w:r>
        <w:rPr>
          <w:rFonts w:ascii="Times New Roman" w:hAnsi="Times New Roman"/>
          <w:sz w:val="24"/>
        </w:rPr>
        <w:t xml:space="preserve"> both local legitimacy</w:t>
      </w:r>
      <w:r w:rsidR="00162EE9">
        <w:rPr>
          <w:rFonts w:ascii="Times New Roman" w:hAnsi="Times New Roman"/>
          <w:sz w:val="24"/>
        </w:rPr>
        <w:t xml:space="preserve"> and international support</w:t>
      </w:r>
      <w:r>
        <w:rPr>
          <w:rFonts w:ascii="Times New Roman" w:hAnsi="Times New Roman"/>
          <w:sz w:val="24"/>
        </w:rPr>
        <w:t xml:space="preserve">, in the remainder of the article I examine this experience further in order to reveal the underlying tensions and the social and political conflicts of interest which ultimately confounded these efforts and which are central to actual processes of </w:t>
      </w:r>
      <w:r w:rsidR="0028327E">
        <w:rPr>
          <w:rFonts w:ascii="Times New Roman" w:hAnsi="Times New Roman"/>
          <w:sz w:val="24"/>
        </w:rPr>
        <w:t>dealing</w:t>
      </w:r>
      <w:r>
        <w:rPr>
          <w:rFonts w:ascii="Times New Roman" w:hAnsi="Times New Roman"/>
          <w:sz w:val="24"/>
        </w:rPr>
        <w:t xml:space="preserve"> with the legacies of conflict.</w:t>
      </w:r>
    </w:p>
    <w:p w:rsidR="00336F0B" w:rsidRDefault="004C0B69" w:rsidP="004C0B69">
      <w:pPr>
        <w:tabs>
          <w:tab w:val="left" w:pos="2790"/>
        </w:tabs>
        <w:spacing w:after="0" w:line="360" w:lineRule="auto"/>
        <w:rPr>
          <w:rFonts w:ascii="Times New Roman" w:hAnsi="Times New Roman"/>
          <w:sz w:val="24"/>
        </w:rPr>
      </w:pPr>
      <w:r>
        <w:rPr>
          <w:rFonts w:ascii="Times New Roman" w:hAnsi="Times New Roman"/>
          <w:sz w:val="24"/>
        </w:rPr>
        <w:tab/>
      </w:r>
    </w:p>
    <w:p w:rsidR="00257791" w:rsidRPr="00257791" w:rsidRDefault="00336F0B" w:rsidP="00336F0B">
      <w:pPr>
        <w:spacing w:after="0" w:line="360" w:lineRule="auto"/>
        <w:rPr>
          <w:rFonts w:ascii="Times New Roman" w:hAnsi="Times New Roman"/>
          <w:b/>
          <w:i/>
          <w:sz w:val="24"/>
        </w:rPr>
      </w:pPr>
      <w:r w:rsidRPr="00257791">
        <w:rPr>
          <w:rFonts w:ascii="Times New Roman" w:hAnsi="Times New Roman"/>
          <w:b/>
          <w:i/>
          <w:sz w:val="24"/>
        </w:rPr>
        <w:lastRenderedPageBreak/>
        <w:t>Po</w:t>
      </w:r>
      <w:r w:rsidR="00257791" w:rsidRPr="00257791">
        <w:rPr>
          <w:rFonts w:ascii="Times New Roman" w:hAnsi="Times New Roman"/>
          <w:b/>
          <w:i/>
          <w:sz w:val="24"/>
        </w:rPr>
        <w:t>les of Resistance: international and domestic</w:t>
      </w:r>
    </w:p>
    <w:p w:rsidR="0008129A" w:rsidRPr="00474CD2" w:rsidRDefault="003B1621" w:rsidP="00F94532">
      <w:pPr>
        <w:spacing w:after="0" w:line="360" w:lineRule="auto"/>
        <w:ind w:firstLine="720"/>
        <w:rPr>
          <w:rFonts w:ascii="Times New Roman" w:hAnsi="Times New Roman"/>
          <w:sz w:val="24"/>
        </w:rPr>
      </w:pPr>
      <w:r>
        <w:rPr>
          <w:rFonts w:ascii="Times New Roman" w:hAnsi="Times New Roman"/>
          <w:sz w:val="24"/>
        </w:rPr>
        <w:t>T</w:t>
      </w:r>
      <w:r w:rsidR="00FE4E8C">
        <w:rPr>
          <w:rFonts w:ascii="Times New Roman" w:hAnsi="Times New Roman"/>
          <w:sz w:val="24"/>
        </w:rPr>
        <w:t xml:space="preserve">he </w:t>
      </w:r>
      <w:r w:rsidR="00BF2685">
        <w:rPr>
          <w:rFonts w:ascii="Times New Roman" w:hAnsi="Times New Roman"/>
          <w:sz w:val="24"/>
        </w:rPr>
        <w:t>attempts</w:t>
      </w:r>
      <w:r w:rsidR="00FE4E8C">
        <w:rPr>
          <w:rFonts w:ascii="Times New Roman" w:hAnsi="Times New Roman"/>
          <w:sz w:val="24"/>
        </w:rPr>
        <w:t xml:space="preserve"> to create a</w:t>
      </w:r>
      <w:r w:rsidR="00F94532">
        <w:rPr>
          <w:rFonts w:ascii="Times New Roman" w:hAnsi="Times New Roman"/>
          <w:sz w:val="24"/>
        </w:rPr>
        <w:t xml:space="preserve"> national</w:t>
      </w:r>
      <w:r w:rsidR="00FE4E8C">
        <w:rPr>
          <w:rFonts w:ascii="Times New Roman" w:hAnsi="Times New Roman"/>
          <w:sz w:val="24"/>
        </w:rPr>
        <w:t xml:space="preserve"> TRC </w:t>
      </w:r>
      <w:r w:rsidR="00F94532">
        <w:rPr>
          <w:rFonts w:ascii="Times New Roman" w:hAnsi="Times New Roman"/>
          <w:sz w:val="24"/>
        </w:rPr>
        <w:t xml:space="preserve">generated </w:t>
      </w:r>
      <w:r w:rsidR="007B7673">
        <w:rPr>
          <w:rFonts w:ascii="Times New Roman" w:hAnsi="Times New Roman"/>
          <w:sz w:val="24"/>
        </w:rPr>
        <w:t>resistance</w:t>
      </w:r>
      <w:r w:rsidR="00260454">
        <w:rPr>
          <w:rFonts w:ascii="Times New Roman" w:hAnsi="Times New Roman"/>
          <w:sz w:val="24"/>
        </w:rPr>
        <w:t xml:space="preserve"> </w:t>
      </w:r>
      <w:r w:rsidR="000D1E2E">
        <w:rPr>
          <w:rFonts w:ascii="Times New Roman" w:hAnsi="Times New Roman"/>
          <w:sz w:val="24"/>
        </w:rPr>
        <w:t xml:space="preserve">both </w:t>
      </w:r>
      <w:r w:rsidR="00907EFE">
        <w:rPr>
          <w:rFonts w:ascii="Times New Roman" w:hAnsi="Times New Roman"/>
          <w:sz w:val="24"/>
        </w:rPr>
        <w:t>international</w:t>
      </w:r>
      <w:r w:rsidR="000D1E2E">
        <w:rPr>
          <w:rFonts w:ascii="Times New Roman" w:hAnsi="Times New Roman"/>
          <w:sz w:val="24"/>
        </w:rPr>
        <w:t>ly</w:t>
      </w:r>
      <w:r w:rsidR="00907EFE">
        <w:rPr>
          <w:rFonts w:ascii="Times New Roman" w:hAnsi="Times New Roman"/>
          <w:sz w:val="24"/>
        </w:rPr>
        <w:t xml:space="preserve"> and domestic</w:t>
      </w:r>
      <w:r w:rsidR="000D1E2E">
        <w:rPr>
          <w:rFonts w:ascii="Times New Roman" w:hAnsi="Times New Roman"/>
          <w:sz w:val="24"/>
        </w:rPr>
        <w:t>ally</w:t>
      </w:r>
      <w:r w:rsidR="00FE4E8C">
        <w:rPr>
          <w:rFonts w:ascii="Times New Roman" w:hAnsi="Times New Roman"/>
          <w:sz w:val="24"/>
        </w:rPr>
        <w:t>.</w:t>
      </w:r>
      <w:r w:rsidR="003B5E04">
        <w:rPr>
          <w:rFonts w:ascii="Times New Roman" w:hAnsi="Times New Roman"/>
          <w:sz w:val="24"/>
        </w:rPr>
        <w:t xml:space="preserve"> </w:t>
      </w:r>
      <w:r w:rsidR="00163835">
        <w:rPr>
          <w:rFonts w:ascii="Times New Roman" w:hAnsi="Times New Roman"/>
          <w:sz w:val="24"/>
        </w:rPr>
        <w:t xml:space="preserve">The first major </w:t>
      </w:r>
      <w:r w:rsidR="009C1041">
        <w:rPr>
          <w:rFonts w:ascii="Times New Roman" w:hAnsi="Times New Roman"/>
          <w:sz w:val="24"/>
        </w:rPr>
        <w:t>opposition</w:t>
      </w:r>
      <w:r w:rsidR="00163835">
        <w:rPr>
          <w:rFonts w:ascii="Times New Roman" w:hAnsi="Times New Roman"/>
          <w:sz w:val="24"/>
        </w:rPr>
        <w:t xml:space="preserve"> to the TRC initiative came from the ICTY</w:t>
      </w:r>
      <w:r w:rsidR="00907EFE">
        <w:rPr>
          <w:rFonts w:ascii="Times New Roman" w:hAnsi="Times New Roman"/>
          <w:sz w:val="24"/>
        </w:rPr>
        <w:t>, whose</w:t>
      </w:r>
      <w:r w:rsidR="00F94532">
        <w:rPr>
          <w:rFonts w:ascii="Times New Roman" w:hAnsi="Times New Roman"/>
          <w:sz w:val="24"/>
        </w:rPr>
        <w:t xml:space="preserve"> resistance to the idea of a Bosnian TRC was </w:t>
      </w:r>
      <w:r w:rsidR="00AF629C">
        <w:rPr>
          <w:rFonts w:ascii="Times New Roman" w:hAnsi="Times New Roman"/>
          <w:sz w:val="24"/>
        </w:rPr>
        <w:t>unsurprising</w:t>
      </w:r>
      <w:r w:rsidR="00907EFE">
        <w:rPr>
          <w:rFonts w:ascii="Times New Roman" w:hAnsi="Times New Roman"/>
          <w:sz w:val="24"/>
        </w:rPr>
        <w:t>—</w:t>
      </w:r>
      <w:r w:rsidR="00F94532">
        <w:rPr>
          <w:rFonts w:ascii="Times New Roman" w:hAnsi="Times New Roman"/>
          <w:sz w:val="24"/>
        </w:rPr>
        <w:t>particularly</w:t>
      </w:r>
      <w:r w:rsidR="00907EFE">
        <w:rPr>
          <w:rFonts w:ascii="Times New Roman" w:hAnsi="Times New Roman"/>
          <w:sz w:val="24"/>
        </w:rPr>
        <w:t xml:space="preserve"> </w:t>
      </w:r>
      <w:r w:rsidR="00F94532">
        <w:rPr>
          <w:rFonts w:ascii="Times New Roman" w:hAnsi="Times New Roman"/>
          <w:sz w:val="24"/>
        </w:rPr>
        <w:t xml:space="preserve">considering that a truth commission was initially envisaged as an alternative to the Tribunal. </w:t>
      </w:r>
      <w:r w:rsidR="00216ED6">
        <w:rPr>
          <w:rFonts w:ascii="Times New Roman" w:hAnsi="Times New Roman" w:cs="Times New Roman"/>
          <w:sz w:val="24"/>
          <w:szCs w:val="24"/>
        </w:rPr>
        <w:t xml:space="preserve">The ICTY’s resistance to a Bosnian TRC continued through both the project’s phases. </w:t>
      </w:r>
      <w:r w:rsidR="0008129A">
        <w:rPr>
          <w:rFonts w:ascii="Times New Roman" w:hAnsi="Times New Roman" w:cs="Times New Roman"/>
          <w:sz w:val="24"/>
          <w:szCs w:val="24"/>
        </w:rPr>
        <w:t>In its annual report for 1998, the ICTY expressed ‘a number of concerns about the potential effects of the Commission... [including] access to witnesses, availability and admissibility of evidence and potential amnesty’.</w:t>
      </w:r>
      <w:r w:rsidR="0008129A">
        <w:rPr>
          <w:rStyle w:val="FootnoteReference"/>
          <w:rFonts w:ascii="Times New Roman" w:hAnsi="Times New Roman" w:cs="Times New Roman"/>
          <w:sz w:val="24"/>
          <w:szCs w:val="24"/>
        </w:rPr>
        <w:footnoteReference w:id="52"/>
      </w:r>
      <w:r w:rsidR="0008129A" w:rsidRPr="00474CD2">
        <w:rPr>
          <w:rFonts w:ascii="Times New Roman" w:hAnsi="Times New Roman"/>
          <w:sz w:val="24"/>
        </w:rPr>
        <w:t xml:space="preserve"> </w:t>
      </w:r>
      <w:r w:rsidR="007A2030">
        <w:rPr>
          <w:rFonts w:ascii="Times New Roman" w:hAnsi="Times New Roman"/>
          <w:sz w:val="24"/>
        </w:rPr>
        <w:t>At the 2000 civil society conference</w:t>
      </w:r>
      <w:r w:rsidR="007A2030" w:rsidRPr="007A2030">
        <w:rPr>
          <w:rFonts w:ascii="Times New Roman" w:hAnsi="Times New Roman"/>
          <w:sz w:val="24"/>
        </w:rPr>
        <w:t xml:space="preserve"> </w:t>
      </w:r>
      <w:r w:rsidR="007A2030">
        <w:rPr>
          <w:rFonts w:ascii="Times New Roman" w:hAnsi="Times New Roman"/>
          <w:sz w:val="24"/>
        </w:rPr>
        <w:t xml:space="preserve">launching the Bosnian TRC process, </w:t>
      </w:r>
      <w:r w:rsidR="0008129A" w:rsidRPr="00474CD2">
        <w:rPr>
          <w:rFonts w:ascii="Times New Roman" w:hAnsi="Times New Roman"/>
          <w:sz w:val="24"/>
        </w:rPr>
        <w:t xml:space="preserve">Gavin Ruxton, the ICTY representative, outlined the </w:t>
      </w:r>
      <w:r w:rsidR="00757931">
        <w:rPr>
          <w:rFonts w:ascii="Times New Roman" w:hAnsi="Times New Roman"/>
          <w:sz w:val="24"/>
        </w:rPr>
        <w:t xml:space="preserve">Tribunal’s </w:t>
      </w:r>
      <w:r w:rsidR="0008129A" w:rsidRPr="00474CD2">
        <w:rPr>
          <w:rFonts w:ascii="Times New Roman" w:hAnsi="Times New Roman"/>
          <w:sz w:val="24"/>
        </w:rPr>
        <w:t>s</w:t>
      </w:r>
      <w:r w:rsidR="00BE2BB6">
        <w:rPr>
          <w:rFonts w:ascii="Times New Roman" w:hAnsi="Times New Roman"/>
          <w:sz w:val="24"/>
        </w:rPr>
        <w:t>k</w:t>
      </w:r>
      <w:r w:rsidR="0008129A" w:rsidRPr="00474CD2">
        <w:rPr>
          <w:rFonts w:ascii="Times New Roman" w:hAnsi="Times New Roman"/>
          <w:sz w:val="24"/>
        </w:rPr>
        <w:t xml:space="preserve">epticism that one, definitive truth could be obtained, </w:t>
      </w:r>
      <w:r w:rsidR="00152718">
        <w:rPr>
          <w:rFonts w:ascii="Times New Roman" w:hAnsi="Times New Roman"/>
          <w:sz w:val="24"/>
        </w:rPr>
        <w:t xml:space="preserve">or </w:t>
      </w:r>
      <w:r w:rsidR="0008129A" w:rsidRPr="00474CD2">
        <w:rPr>
          <w:rFonts w:ascii="Times New Roman" w:hAnsi="Times New Roman"/>
          <w:sz w:val="24"/>
        </w:rPr>
        <w:t>that the political context</w:t>
      </w:r>
      <w:r w:rsidR="00152718">
        <w:rPr>
          <w:rFonts w:ascii="Times New Roman" w:hAnsi="Times New Roman"/>
          <w:sz w:val="24"/>
        </w:rPr>
        <w:t xml:space="preserve"> was ripe for such an endeavour. </w:t>
      </w:r>
      <w:r w:rsidR="00EE42A2">
        <w:rPr>
          <w:rFonts w:ascii="Times New Roman" w:hAnsi="Times New Roman"/>
          <w:sz w:val="24"/>
        </w:rPr>
        <w:t>Implicitly criticizing</w:t>
      </w:r>
      <w:r w:rsidR="00BC1496">
        <w:rPr>
          <w:rFonts w:ascii="Times New Roman" w:hAnsi="Times New Roman"/>
          <w:sz w:val="24"/>
        </w:rPr>
        <w:t xml:space="preserve"> </w:t>
      </w:r>
      <w:r w:rsidR="0058304A">
        <w:rPr>
          <w:rFonts w:ascii="Times New Roman" w:hAnsi="Times New Roman"/>
          <w:sz w:val="24"/>
        </w:rPr>
        <w:t>USIP</w:t>
      </w:r>
      <w:r w:rsidR="00BC1496">
        <w:rPr>
          <w:rFonts w:ascii="Times New Roman" w:hAnsi="Times New Roman"/>
          <w:sz w:val="24"/>
        </w:rPr>
        <w:t>, h</w:t>
      </w:r>
      <w:r w:rsidR="0008129A" w:rsidRPr="00474CD2">
        <w:rPr>
          <w:rFonts w:ascii="Times New Roman" w:hAnsi="Times New Roman"/>
          <w:sz w:val="24"/>
        </w:rPr>
        <w:t xml:space="preserve">e also noted that the </w:t>
      </w:r>
      <w:r w:rsidR="00BC1496">
        <w:rPr>
          <w:rFonts w:ascii="Times New Roman" w:hAnsi="Times New Roman"/>
          <w:sz w:val="24"/>
        </w:rPr>
        <w:t>TRC</w:t>
      </w:r>
      <w:r w:rsidR="0008129A" w:rsidRPr="00474CD2">
        <w:rPr>
          <w:rFonts w:ascii="Times New Roman" w:hAnsi="Times New Roman"/>
          <w:sz w:val="24"/>
        </w:rPr>
        <w:t xml:space="preserve"> proposal ‘contained elements’ of </w:t>
      </w:r>
      <w:r w:rsidR="00525435">
        <w:rPr>
          <w:rFonts w:ascii="Times New Roman" w:hAnsi="Times New Roman"/>
          <w:sz w:val="24"/>
        </w:rPr>
        <w:t>‘</w:t>
      </w:r>
      <w:r w:rsidR="0008129A" w:rsidRPr="00474CD2">
        <w:rPr>
          <w:rFonts w:ascii="Times New Roman" w:hAnsi="Times New Roman"/>
          <w:sz w:val="24"/>
        </w:rPr>
        <w:t>imposition from outside</w:t>
      </w:r>
      <w:r w:rsidR="00525435">
        <w:rPr>
          <w:rFonts w:ascii="Times New Roman" w:hAnsi="Times New Roman"/>
          <w:sz w:val="24"/>
        </w:rPr>
        <w:t>’</w:t>
      </w:r>
      <w:r w:rsidR="0008129A" w:rsidRPr="00474CD2">
        <w:rPr>
          <w:rFonts w:ascii="Times New Roman" w:hAnsi="Times New Roman"/>
          <w:sz w:val="24"/>
        </w:rPr>
        <w:t>.</w:t>
      </w:r>
      <w:r w:rsidR="00757931" w:rsidRPr="00474CD2">
        <w:rPr>
          <w:rStyle w:val="FootnoteReference"/>
          <w:rFonts w:ascii="Times New Roman" w:hAnsi="Times New Roman"/>
          <w:sz w:val="24"/>
        </w:rPr>
        <w:footnoteReference w:id="53"/>
      </w:r>
      <w:r w:rsidR="0008129A" w:rsidRPr="00474CD2">
        <w:rPr>
          <w:rFonts w:ascii="Times New Roman" w:hAnsi="Times New Roman"/>
          <w:sz w:val="24"/>
        </w:rPr>
        <w:t xml:space="preserve"> Most importantly, the </w:t>
      </w:r>
      <w:r w:rsidR="00D84DCA">
        <w:rPr>
          <w:rFonts w:ascii="Times New Roman" w:hAnsi="Times New Roman"/>
          <w:sz w:val="24"/>
        </w:rPr>
        <w:t xml:space="preserve">ICTY </w:t>
      </w:r>
      <w:r w:rsidR="007A2030">
        <w:rPr>
          <w:rFonts w:ascii="Times New Roman" w:hAnsi="Times New Roman"/>
          <w:sz w:val="24"/>
        </w:rPr>
        <w:t xml:space="preserve">officials </w:t>
      </w:r>
      <w:r w:rsidR="00D84DCA">
        <w:rPr>
          <w:rFonts w:ascii="Times New Roman" w:hAnsi="Times New Roman"/>
          <w:sz w:val="24"/>
        </w:rPr>
        <w:t>feared</w:t>
      </w:r>
      <w:r w:rsidR="0008129A" w:rsidRPr="00474CD2">
        <w:rPr>
          <w:rFonts w:ascii="Times New Roman" w:hAnsi="Times New Roman"/>
          <w:sz w:val="24"/>
        </w:rPr>
        <w:t xml:space="preserve"> that the TRC </w:t>
      </w:r>
      <w:r w:rsidR="002D5821">
        <w:rPr>
          <w:rFonts w:ascii="Times New Roman" w:hAnsi="Times New Roman"/>
          <w:sz w:val="24"/>
        </w:rPr>
        <w:t>could undermine the Tribunal’s own investigations and decisions, witness protection programme and secret indictments</w:t>
      </w:r>
      <w:r w:rsidR="0008129A" w:rsidRPr="00474CD2">
        <w:rPr>
          <w:rFonts w:ascii="Times New Roman" w:hAnsi="Times New Roman"/>
          <w:sz w:val="24"/>
        </w:rPr>
        <w:t>.</w:t>
      </w:r>
      <w:r w:rsidR="00757931">
        <w:rPr>
          <w:rStyle w:val="FootnoteReference"/>
          <w:rFonts w:ascii="Times New Roman" w:hAnsi="Times New Roman"/>
          <w:sz w:val="24"/>
        </w:rPr>
        <w:footnoteReference w:id="54"/>
      </w:r>
      <w:r w:rsidR="0008129A" w:rsidRPr="00474CD2">
        <w:rPr>
          <w:rFonts w:ascii="Times New Roman" w:hAnsi="Times New Roman"/>
          <w:sz w:val="24"/>
        </w:rPr>
        <w:t xml:space="preserve"> </w:t>
      </w:r>
      <w:r w:rsidR="002D5821">
        <w:rPr>
          <w:rFonts w:ascii="Times New Roman" w:hAnsi="Times New Roman"/>
          <w:sz w:val="24"/>
        </w:rPr>
        <w:t>Despite the remonstrations of</w:t>
      </w:r>
      <w:r w:rsidR="00BC1496">
        <w:rPr>
          <w:rFonts w:ascii="Times New Roman" w:hAnsi="Times New Roman"/>
          <w:sz w:val="24"/>
        </w:rPr>
        <w:t xml:space="preserve"> </w:t>
      </w:r>
      <w:r w:rsidR="0008129A" w:rsidRPr="00474CD2">
        <w:rPr>
          <w:rFonts w:ascii="Times New Roman" w:hAnsi="Times New Roman"/>
          <w:sz w:val="24"/>
        </w:rPr>
        <w:t>the Bosnian participants</w:t>
      </w:r>
      <w:r w:rsidR="00BC1496">
        <w:rPr>
          <w:rFonts w:ascii="Times New Roman" w:hAnsi="Times New Roman"/>
          <w:sz w:val="24"/>
        </w:rPr>
        <w:t>,</w:t>
      </w:r>
      <w:r w:rsidR="0008129A" w:rsidRPr="00474CD2">
        <w:rPr>
          <w:rFonts w:ascii="Times New Roman" w:hAnsi="Times New Roman"/>
          <w:sz w:val="24"/>
        </w:rPr>
        <w:t xml:space="preserve"> the ICTY </w:t>
      </w:r>
      <w:r w:rsidR="0028327E">
        <w:rPr>
          <w:rFonts w:ascii="Times New Roman" w:hAnsi="Times New Roman"/>
          <w:sz w:val="24"/>
        </w:rPr>
        <w:t>official</w:t>
      </w:r>
      <w:r w:rsidR="0008129A" w:rsidRPr="00474CD2">
        <w:rPr>
          <w:rFonts w:ascii="Times New Roman" w:hAnsi="Times New Roman"/>
          <w:sz w:val="24"/>
        </w:rPr>
        <w:t xml:space="preserve">s maintained that </w:t>
      </w:r>
      <w:r w:rsidR="0028327E">
        <w:rPr>
          <w:rFonts w:ascii="Times New Roman" w:hAnsi="Times New Roman"/>
          <w:sz w:val="24"/>
        </w:rPr>
        <w:t>neither</w:t>
      </w:r>
      <w:r w:rsidR="0008129A" w:rsidRPr="00474CD2">
        <w:rPr>
          <w:rFonts w:ascii="Times New Roman" w:hAnsi="Times New Roman"/>
          <w:sz w:val="24"/>
        </w:rPr>
        <w:t xml:space="preserve"> the Tribunal’s president </w:t>
      </w:r>
      <w:r w:rsidR="0028327E">
        <w:rPr>
          <w:rFonts w:ascii="Times New Roman" w:hAnsi="Times New Roman"/>
          <w:sz w:val="24"/>
        </w:rPr>
        <w:t>nor</w:t>
      </w:r>
      <w:r w:rsidR="0008129A" w:rsidRPr="00474CD2">
        <w:rPr>
          <w:rFonts w:ascii="Times New Roman" w:hAnsi="Times New Roman"/>
          <w:sz w:val="24"/>
        </w:rPr>
        <w:t xml:space="preserve"> its chief prosecutor could support the initiative.</w:t>
      </w:r>
      <w:r w:rsidR="007A2030" w:rsidRPr="00474CD2">
        <w:rPr>
          <w:rStyle w:val="FootnoteReference"/>
          <w:rFonts w:ascii="Times New Roman" w:hAnsi="Times New Roman"/>
          <w:sz w:val="24"/>
        </w:rPr>
        <w:footnoteReference w:id="55"/>
      </w:r>
    </w:p>
    <w:p w:rsidR="007D462D" w:rsidRDefault="007A2030" w:rsidP="00257791">
      <w:pPr>
        <w:spacing w:after="0" w:line="360" w:lineRule="auto"/>
        <w:ind w:firstLine="720"/>
        <w:rPr>
          <w:rFonts w:ascii="Times New Roman" w:hAnsi="Times New Roman"/>
          <w:sz w:val="24"/>
          <w:szCs w:val="24"/>
        </w:rPr>
      </w:pPr>
      <w:r>
        <w:rPr>
          <w:rFonts w:ascii="Times New Roman" w:hAnsi="Times New Roman"/>
          <w:sz w:val="24"/>
        </w:rPr>
        <w:t>A</w:t>
      </w:r>
      <w:r w:rsidR="0008129A" w:rsidRPr="00474CD2">
        <w:rPr>
          <w:rFonts w:ascii="Times New Roman" w:hAnsi="Times New Roman"/>
          <w:sz w:val="24"/>
        </w:rPr>
        <w:t xml:space="preserve"> year later, in May 2001, the Tribunal’s new president, Claude Jorda, tentatively accepted the idea of a truth commission</w:t>
      </w:r>
      <w:r w:rsidR="00D84DCA">
        <w:rPr>
          <w:rFonts w:ascii="Times New Roman" w:hAnsi="Times New Roman"/>
          <w:sz w:val="24"/>
        </w:rPr>
        <w:t>,</w:t>
      </w:r>
      <w:r w:rsidR="0008129A" w:rsidRPr="00474CD2">
        <w:rPr>
          <w:rFonts w:ascii="Times New Roman" w:hAnsi="Times New Roman"/>
          <w:sz w:val="24"/>
        </w:rPr>
        <w:t xml:space="preserve"> but only with a </w:t>
      </w:r>
      <w:r w:rsidR="006D5E78">
        <w:rPr>
          <w:rFonts w:ascii="Times New Roman" w:hAnsi="Times New Roman"/>
          <w:sz w:val="24"/>
        </w:rPr>
        <w:t>restricted</w:t>
      </w:r>
      <w:r w:rsidR="0008129A" w:rsidRPr="00474CD2">
        <w:rPr>
          <w:rFonts w:ascii="Times New Roman" w:hAnsi="Times New Roman"/>
          <w:sz w:val="24"/>
        </w:rPr>
        <w:t xml:space="preserve"> mandate that would not challenge the primacy of the ICTY. Although Jorda recognized that this was ‘a national initiative and, as such, falls within your sovereign province’, he urged his Bosnian interlocutors not to ‘ignore the international context’ and make sure that the initiative ‘be consonant with the powers conferred on the Tribunal by the Security Council’.</w:t>
      </w:r>
      <w:r w:rsidR="0008129A" w:rsidRPr="00474CD2">
        <w:rPr>
          <w:rStyle w:val="FootnoteReference"/>
          <w:rFonts w:ascii="Times New Roman" w:hAnsi="Times New Roman"/>
          <w:sz w:val="24"/>
        </w:rPr>
        <w:footnoteReference w:id="56"/>
      </w:r>
      <w:r w:rsidR="00BC1496">
        <w:rPr>
          <w:rFonts w:ascii="Times New Roman" w:hAnsi="Times New Roman"/>
          <w:sz w:val="24"/>
        </w:rPr>
        <w:t xml:space="preserve"> </w:t>
      </w:r>
      <w:r>
        <w:rPr>
          <w:rFonts w:ascii="Times New Roman" w:hAnsi="Times New Roman"/>
          <w:sz w:val="24"/>
        </w:rPr>
        <w:t xml:space="preserve">He warned that </w:t>
      </w:r>
      <w:r w:rsidR="0008129A" w:rsidRPr="00474CD2">
        <w:rPr>
          <w:rFonts w:ascii="Times New Roman" w:hAnsi="Times New Roman"/>
          <w:sz w:val="24"/>
        </w:rPr>
        <w:t xml:space="preserve">a commission could not have autonomous investigative </w:t>
      </w:r>
      <w:r w:rsidR="0058304A">
        <w:rPr>
          <w:rFonts w:ascii="Times New Roman" w:hAnsi="Times New Roman"/>
          <w:sz w:val="24"/>
        </w:rPr>
        <w:t xml:space="preserve">or amnesty </w:t>
      </w:r>
      <w:r w:rsidR="0008129A" w:rsidRPr="00474CD2">
        <w:rPr>
          <w:rFonts w:ascii="Times New Roman" w:hAnsi="Times New Roman"/>
          <w:sz w:val="24"/>
        </w:rPr>
        <w:t xml:space="preserve">powers </w:t>
      </w:r>
      <w:r w:rsidR="0058304A">
        <w:rPr>
          <w:rFonts w:ascii="Times New Roman" w:hAnsi="Times New Roman"/>
          <w:sz w:val="24"/>
        </w:rPr>
        <w:t>and could</w:t>
      </w:r>
      <w:r w:rsidR="0008129A" w:rsidRPr="00474CD2">
        <w:rPr>
          <w:rFonts w:ascii="Times New Roman" w:hAnsi="Times New Roman"/>
          <w:sz w:val="24"/>
        </w:rPr>
        <w:t xml:space="preserve"> only deal with those aspects that were not a priority for the ICTY, such as reparations or ‘the pedagogical and historical perspective of reconstructing the national identity’.</w:t>
      </w:r>
      <w:r w:rsidR="0008129A" w:rsidRPr="00474CD2">
        <w:rPr>
          <w:rStyle w:val="FootnoteReference"/>
          <w:rFonts w:ascii="Times New Roman" w:hAnsi="Times New Roman"/>
          <w:sz w:val="24"/>
        </w:rPr>
        <w:footnoteReference w:id="57"/>
      </w:r>
      <w:r w:rsidR="0008129A" w:rsidRPr="00474CD2">
        <w:rPr>
          <w:rFonts w:ascii="Times New Roman" w:hAnsi="Times New Roman"/>
          <w:sz w:val="24"/>
        </w:rPr>
        <w:t xml:space="preserve"> In other words, from the ICTY’s perspectiv</w:t>
      </w:r>
      <w:r>
        <w:rPr>
          <w:rFonts w:ascii="Times New Roman" w:hAnsi="Times New Roman"/>
          <w:sz w:val="24"/>
        </w:rPr>
        <w:t>e, a Bosnian truth commission c</w:t>
      </w:r>
      <w:r w:rsidR="0008129A" w:rsidRPr="00474CD2">
        <w:rPr>
          <w:rFonts w:ascii="Times New Roman" w:hAnsi="Times New Roman"/>
          <w:sz w:val="24"/>
        </w:rPr>
        <w:t>ould</w:t>
      </w:r>
      <w:r>
        <w:rPr>
          <w:rFonts w:ascii="Times New Roman" w:hAnsi="Times New Roman"/>
          <w:sz w:val="24"/>
        </w:rPr>
        <w:t xml:space="preserve"> only</w:t>
      </w:r>
      <w:r w:rsidR="0008129A" w:rsidRPr="00474CD2">
        <w:rPr>
          <w:rFonts w:ascii="Times New Roman" w:hAnsi="Times New Roman"/>
          <w:sz w:val="24"/>
        </w:rPr>
        <w:t xml:space="preserve"> ‘supplement </w:t>
      </w:r>
      <w:r w:rsidR="0008129A" w:rsidRPr="00474CD2">
        <w:rPr>
          <w:rFonts w:ascii="Times New Roman" w:hAnsi="Times New Roman"/>
          <w:sz w:val="24"/>
        </w:rPr>
        <w:lastRenderedPageBreak/>
        <w:t>and, if necessary, reinforce the International Tribunal in its mission of reconciliation’ but not in any way represent a parallel and potentially rival institution</w:t>
      </w:r>
      <w:r w:rsidR="0058304A">
        <w:rPr>
          <w:rFonts w:ascii="Times New Roman" w:hAnsi="Times New Roman"/>
          <w:sz w:val="24"/>
        </w:rPr>
        <w:t xml:space="preserve"> that</w:t>
      </w:r>
      <w:r w:rsidR="0008129A" w:rsidRPr="00474CD2">
        <w:rPr>
          <w:rFonts w:ascii="Times New Roman" w:hAnsi="Times New Roman"/>
          <w:sz w:val="24"/>
        </w:rPr>
        <w:t xml:space="preserve"> would compete with the ICTY’s work or</w:t>
      </w:r>
      <w:r w:rsidR="00BC1496">
        <w:rPr>
          <w:rFonts w:ascii="Times New Roman" w:hAnsi="Times New Roman"/>
          <w:sz w:val="24"/>
        </w:rPr>
        <w:t xml:space="preserve"> </w:t>
      </w:r>
      <w:r w:rsidR="00BD27E6" w:rsidRPr="00BD27E6">
        <w:rPr>
          <w:rFonts w:ascii="Times New Roman" w:hAnsi="Times New Roman" w:cs="Times New Roman"/>
          <w:sz w:val="24"/>
          <w:szCs w:val="24"/>
        </w:rPr>
        <w:t>‘absorb scarce Western financial aid’</w:t>
      </w:r>
      <w:r w:rsidR="00BD27E6">
        <w:rPr>
          <w:rFonts w:ascii="Times New Roman" w:hAnsi="Times New Roman" w:cs="Times New Roman"/>
          <w:sz w:val="24"/>
          <w:szCs w:val="24"/>
        </w:rPr>
        <w:t>,</w:t>
      </w:r>
      <w:r w:rsidR="00BD27E6" w:rsidRPr="00BD27E6">
        <w:rPr>
          <w:rFonts w:ascii="Times New Roman" w:hAnsi="Times New Roman" w:cs="Times New Roman"/>
          <w:sz w:val="24"/>
          <w:szCs w:val="24"/>
        </w:rPr>
        <w:t xml:space="preserve"> diverting it from the Tribunal</w:t>
      </w:r>
      <w:r w:rsidR="0008129A" w:rsidRPr="00474CD2">
        <w:rPr>
          <w:rFonts w:ascii="Times New Roman" w:hAnsi="Times New Roman"/>
          <w:sz w:val="24"/>
        </w:rPr>
        <w:t>.</w:t>
      </w:r>
      <w:r w:rsidR="0008129A" w:rsidRPr="00474CD2">
        <w:rPr>
          <w:rStyle w:val="FootnoteReference"/>
          <w:rFonts w:ascii="Times New Roman" w:hAnsi="Times New Roman"/>
          <w:sz w:val="24"/>
        </w:rPr>
        <w:footnoteReference w:id="58"/>
      </w:r>
      <w:r w:rsidR="0008129A" w:rsidRPr="00474CD2">
        <w:rPr>
          <w:rFonts w:ascii="Times New Roman" w:hAnsi="Times New Roman"/>
          <w:sz w:val="24"/>
        </w:rPr>
        <w:t xml:space="preserve"> </w:t>
      </w:r>
      <w:r w:rsidR="0008129A" w:rsidRPr="006D1B80">
        <w:rPr>
          <w:rFonts w:ascii="Times New Roman" w:hAnsi="Times New Roman"/>
          <w:sz w:val="24"/>
          <w:szCs w:val="24"/>
        </w:rPr>
        <w:t>Despite the TRC advocates’ attempts to reassure the ICTY, the latter’s misgivings did not subside</w:t>
      </w:r>
      <w:r w:rsidR="009711FA" w:rsidRPr="006D1B80">
        <w:rPr>
          <w:rFonts w:ascii="Times New Roman" w:hAnsi="Times New Roman"/>
          <w:sz w:val="24"/>
          <w:szCs w:val="24"/>
        </w:rPr>
        <w:t xml:space="preserve"> even </w:t>
      </w:r>
      <w:r w:rsidR="006D5E78" w:rsidRPr="006D1B80">
        <w:rPr>
          <w:rFonts w:ascii="Times New Roman" w:hAnsi="Times New Roman"/>
          <w:sz w:val="24"/>
          <w:szCs w:val="24"/>
        </w:rPr>
        <w:t>after</w:t>
      </w:r>
      <w:r w:rsidR="009711FA" w:rsidRPr="006D1B80">
        <w:rPr>
          <w:rFonts w:ascii="Times New Roman" w:hAnsi="Times New Roman"/>
          <w:sz w:val="24"/>
          <w:szCs w:val="24"/>
        </w:rPr>
        <w:t xml:space="preserve"> its own financial position was more secure</w:t>
      </w:r>
      <w:r w:rsidR="0008129A" w:rsidRPr="006D1B80">
        <w:rPr>
          <w:rFonts w:ascii="Times New Roman" w:hAnsi="Times New Roman"/>
          <w:sz w:val="24"/>
          <w:szCs w:val="24"/>
        </w:rPr>
        <w:t xml:space="preserve">. </w:t>
      </w:r>
      <w:r w:rsidRPr="006D1B80">
        <w:rPr>
          <w:rFonts w:ascii="Times New Roman" w:hAnsi="Times New Roman"/>
          <w:sz w:val="24"/>
          <w:szCs w:val="24"/>
        </w:rPr>
        <w:t>When the TRC initiative was revived in 2005—</w:t>
      </w:r>
      <w:r w:rsidR="00EE42A2">
        <w:rPr>
          <w:rFonts w:ascii="Times New Roman" w:hAnsi="Times New Roman"/>
          <w:sz w:val="24"/>
          <w:szCs w:val="24"/>
        </w:rPr>
        <w:t>concurrently with the inauguration of</w:t>
      </w:r>
      <w:r w:rsidRPr="006D1B80">
        <w:rPr>
          <w:rFonts w:ascii="Times New Roman" w:hAnsi="Times New Roman"/>
          <w:sz w:val="24"/>
          <w:szCs w:val="24"/>
        </w:rPr>
        <w:t xml:space="preserve"> Bosnia’s new domestic war crimes court—the spokesperson of the ICTY Office of the Prosecutor, </w:t>
      </w:r>
      <w:r w:rsidR="0008129A" w:rsidRPr="006D1B80">
        <w:rPr>
          <w:rFonts w:ascii="Times New Roman" w:hAnsi="Times New Roman"/>
          <w:sz w:val="24"/>
          <w:szCs w:val="24"/>
        </w:rPr>
        <w:t xml:space="preserve">Florence Hartmann, </w:t>
      </w:r>
      <w:r w:rsidRPr="006D1B80">
        <w:rPr>
          <w:rFonts w:ascii="Times New Roman" w:hAnsi="Times New Roman"/>
          <w:sz w:val="24"/>
          <w:szCs w:val="24"/>
        </w:rPr>
        <w:t>publicly stated that ‘f</w:t>
      </w:r>
      <w:r w:rsidR="0008129A" w:rsidRPr="006D1B80">
        <w:rPr>
          <w:rFonts w:ascii="Times New Roman" w:hAnsi="Times New Roman"/>
          <w:sz w:val="24"/>
          <w:szCs w:val="24"/>
        </w:rPr>
        <w:t>irst we need to satisfy justice and no commission can do that’</w:t>
      </w:r>
      <w:r w:rsidR="0028327E">
        <w:rPr>
          <w:rFonts w:ascii="Times New Roman" w:hAnsi="Times New Roman"/>
          <w:sz w:val="24"/>
          <w:szCs w:val="24"/>
        </w:rPr>
        <w:t xml:space="preserve"> and that</w:t>
      </w:r>
      <w:r w:rsidR="0028327E" w:rsidRPr="0028327E">
        <w:rPr>
          <w:rFonts w:ascii="Times New Roman" w:hAnsi="Times New Roman"/>
          <w:sz w:val="24"/>
          <w:szCs w:val="24"/>
        </w:rPr>
        <w:t xml:space="preserve"> </w:t>
      </w:r>
      <w:r w:rsidR="0028327E" w:rsidRPr="00474CD2">
        <w:rPr>
          <w:rFonts w:ascii="Times New Roman" w:hAnsi="Times New Roman"/>
          <w:sz w:val="24"/>
          <w:szCs w:val="24"/>
        </w:rPr>
        <w:t>no commission should begin its work until at least one hundred cases had been processed by Bosnia’s new court</w:t>
      </w:r>
      <w:r w:rsidR="0008129A" w:rsidRPr="006D1B80">
        <w:rPr>
          <w:rFonts w:ascii="Times New Roman" w:hAnsi="Times New Roman"/>
          <w:sz w:val="24"/>
          <w:szCs w:val="24"/>
        </w:rPr>
        <w:t>.</w:t>
      </w:r>
      <w:r w:rsidR="0008129A" w:rsidRPr="006D1B80">
        <w:rPr>
          <w:rStyle w:val="FootnoteReference"/>
          <w:rFonts w:ascii="Times New Roman" w:hAnsi="Times New Roman"/>
          <w:sz w:val="24"/>
          <w:szCs w:val="24"/>
        </w:rPr>
        <w:t xml:space="preserve"> </w:t>
      </w:r>
      <w:r w:rsidR="0008129A" w:rsidRPr="006D1B80">
        <w:rPr>
          <w:rStyle w:val="FootnoteReference"/>
          <w:rFonts w:ascii="Times New Roman" w:hAnsi="Times New Roman"/>
          <w:sz w:val="24"/>
          <w:szCs w:val="24"/>
        </w:rPr>
        <w:footnoteReference w:id="59"/>
      </w:r>
    </w:p>
    <w:p w:rsidR="006B5F87" w:rsidRDefault="0008129A" w:rsidP="007D462D">
      <w:pPr>
        <w:spacing w:after="0" w:line="360" w:lineRule="auto"/>
        <w:ind w:firstLine="720"/>
        <w:rPr>
          <w:rFonts w:ascii="Times New Roman" w:hAnsi="Times New Roman"/>
          <w:sz w:val="24"/>
          <w:szCs w:val="24"/>
        </w:rPr>
      </w:pPr>
      <w:r>
        <w:rPr>
          <w:rFonts w:ascii="Times New Roman" w:hAnsi="Times New Roman"/>
          <w:sz w:val="24"/>
          <w:szCs w:val="24"/>
        </w:rPr>
        <w:t xml:space="preserve">The ICTY’s opposition proved to be one of the most important obstacles to the establishment of a truth commission. </w:t>
      </w:r>
      <w:r w:rsidR="007D462D">
        <w:rPr>
          <w:rFonts w:ascii="Times New Roman" w:hAnsi="Times New Roman"/>
          <w:sz w:val="24"/>
          <w:szCs w:val="24"/>
        </w:rPr>
        <w:t xml:space="preserve">Advocates of the commission perceived the Tribunal’s stance as unjustified, particularly as they had made every effort to carefully define the commission’s mandate in ways that did not jeopardize the </w:t>
      </w:r>
      <w:r w:rsidR="00C05885">
        <w:rPr>
          <w:rFonts w:ascii="Times New Roman" w:hAnsi="Times New Roman"/>
          <w:sz w:val="24"/>
          <w:szCs w:val="24"/>
        </w:rPr>
        <w:t>judicial process</w:t>
      </w:r>
      <w:r w:rsidR="007D462D">
        <w:rPr>
          <w:rFonts w:ascii="Times New Roman" w:hAnsi="Times New Roman"/>
          <w:sz w:val="24"/>
          <w:szCs w:val="24"/>
        </w:rPr>
        <w:t xml:space="preserve">. As </w:t>
      </w:r>
      <w:r>
        <w:rPr>
          <w:rFonts w:ascii="Times New Roman" w:hAnsi="Times New Roman"/>
          <w:sz w:val="24"/>
          <w:szCs w:val="24"/>
        </w:rPr>
        <w:t>Alex Boraine, the deputy chair of the South African Truth and Reconciliation Commission and a participant in some of the discussions to create a Bosnian TRC</w:t>
      </w:r>
      <w:r w:rsidR="007D462D">
        <w:rPr>
          <w:rFonts w:ascii="Times New Roman" w:hAnsi="Times New Roman"/>
          <w:sz w:val="24"/>
          <w:szCs w:val="24"/>
        </w:rPr>
        <w:t>, put it</w:t>
      </w:r>
      <w:r>
        <w:rPr>
          <w:rFonts w:ascii="Times New Roman" w:hAnsi="Times New Roman"/>
          <w:sz w:val="24"/>
          <w:szCs w:val="24"/>
        </w:rPr>
        <w:t xml:space="preserve">: ‘I was astonished at the arrogance shown by these representatives [of the ICTY] and I think the very long delay in reaching any kind of conclusion was largely the result of opposition </w:t>
      </w:r>
      <w:r w:rsidR="00E015DA">
        <w:rPr>
          <w:rFonts w:ascii="Times New Roman" w:hAnsi="Times New Roman"/>
          <w:sz w:val="24"/>
          <w:szCs w:val="24"/>
        </w:rPr>
        <w:t>by</w:t>
      </w:r>
      <w:r>
        <w:rPr>
          <w:rFonts w:ascii="Times New Roman" w:hAnsi="Times New Roman"/>
          <w:sz w:val="24"/>
          <w:szCs w:val="24"/>
        </w:rPr>
        <w:t xml:space="preserve"> the tribunal’.</w:t>
      </w:r>
      <w:r>
        <w:rPr>
          <w:rStyle w:val="FootnoteReference"/>
          <w:rFonts w:ascii="Times New Roman" w:hAnsi="Times New Roman"/>
          <w:sz w:val="24"/>
          <w:szCs w:val="24"/>
        </w:rPr>
        <w:footnoteReference w:id="60"/>
      </w:r>
      <w:r w:rsidR="006D5E78">
        <w:rPr>
          <w:rFonts w:ascii="Times New Roman" w:hAnsi="Times New Roman"/>
          <w:sz w:val="24"/>
          <w:szCs w:val="24"/>
        </w:rPr>
        <w:t xml:space="preserve"> However—despite all arguments concerning the complementarity of the ‘justice’ and the ‘truth’ processes—it was clear that governments and donors saw them as alternative approaches, both of which </w:t>
      </w:r>
      <w:r w:rsidR="00362DAD">
        <w:rPr>
          <w:rFonts w:ascii="Times New Roman" w:hAnsi="Times New Roman"/>
          <w:sz w:val="24"/>
          <w:szCs w:val="24"/>
        </w:rPr>
        <w:t>required significant funding. A</w:t>
      </w:r>
      <w:r w:rsidR="00C05885">
        <w:rPr>
          <w:rFonts w:ascii="Times New Roman" w:hAnsi="Times New Roman"/>
          <w:sz w:val="24"/>
          <w:szCs w:val="24"/>
        </w:rPr>
        <w:t>s the US Embassy in Sarajevo noted in 2006</w:t>
      </w:r>
      <w:r w:rsidR="006B5F87">
        <w:rPr>
          <w:rFonts w:ascii="Times New Roman" w:hAnsi="Times New Roman"/>
          <w:sz w:val="24"/>
          <w:szCs w:val="24"/>
        </w:rPr>
        <w:t>:</w:t>
      </w:r>
    </w:p>
    <w:p w:rsidR="002279E8" w:rsidRDefault="00C05885" w:rsidP="006B5F87">
      <w:pPr>
        <w:spacing w:after="0"/>
        <w:ind w:left="720"/>
        <w:rPr>
          <w:rFonts w:ascii="Times New Roman" w:hAnsi="Times New Roman"/>
          <w:sz w:val="24"/>
          <w:szCs w:val="24"/>
        </w:rPr>
      </w:pPr>
      <w:r>
        <w:rPr>
          <w:rFonts w:ascii="Times New Roman" w:hAnsi="Times New Roman"/>
          <w:sz w:val="24"/>
          <w:szCs w:val="24"/>
        </w:rPr>
        <w:t>Donor support for a truth and reconciliation proces</w:t>
      </w:r>
      <w:r w:rsidR="009B525C">
        <w:rPr>
          <w:rFonts w:ascii="Times New Roman" w:hAnsi="Times New Roman"/>
          <w:sz w:val="24"/>
          <w:szCs w:val="24"/>
        </w:rPr>
        <w:t xml:space="preserve">s, likely to be a multi-million </w:t>
      </w:r>
      <w:r>
        <w:rPr>
          <w:rFonts w:ascii="Times New Roman" w:hAnsi="Times New Roman"/>
          <w:sz w:val="24"/>
          <w:szCs w:val="24"/>
        </w:rPr>
        <w:t>dollar project, will almost certainly compete with the US G[overnment] priority of ensuring adequate international assistance for the BiH War Crimes Chamber and State Court</w:t>
      </w:r>
      <w:r w:rsidR="006B5F87">
        <w:rPr>
          <w:rFonts w:ascii="Times New Roman" w:hAnsi="Times New Roman"/>
          <w:sz w:val="24"/>
          <w:szCs w:val="24"/>
        </w:rPr>
        <w:t>.</w:t>
      </w:r>
      <w:r w:rsidR="00953E83">
        <w:rPr>
          <w:rFonts w:ascii="Times New Roman" w:hAnsi="Times New Roman"/>
          <w:sz w:val="24"/>
          <w:szCs w:val="24"/>
        </w:rPr>
        <w:t xml:space="preserve"> [.</w:t>
      </w:r>
      <w:r w:rsidR="006B5F87">
        <w:rPr>
          <w:rFonts w:ascii="Times New Roman" w:hAnsi="Times New Roman"/>
          <w:sz w:val="24"/>
          <w:szCs w:val="24"/>
        </w:rPr>
        <w:t>..</w:t>
      </w:r>
      <w:r w:rsidR="00953E83">
        <w:rPr>
          <w:rFonts w:ascii="Times New Roman" w:hAnsi="Times New Roman"/>
          <w:sz w:val="24"/>
          <w:szCs w:val="24"/>
        </w:rPr>
        <w:t>]</w:t>
      </w:r>
      <w:r w:rsidR="006B5F87">
        <w:rPr>
          <w:rFonts w:ascii="Times New Roman" w:hAnsi="Times New Roman"/>
          <w:sz w:val="24"/>
          <w:szCs w:val="24"/>
        </w:rPr>
        <w:t xml:space="preserve"> Although the truth commission is envisioned as a parallel and not competing process with ongoing war crimes trials, it appears that the State Court’s War Crimes Chamber and the truth commission would likely be competing for funding from the same shrinking donor poo</w:t>
      </w:r>
      <w:r w:rsidR="00FF658C">
        <w:rPr>
          <w:rFonts w:ascii="Times New Roman" w:hAnsi="Times New Roman"/>
          <w:sz w:val="24"/>
          <w:szCs w:val="24"/>
        </w:rPr>
        <w:t>l</w:t>
      </w:r>
      <w:r>
        <w:rPr>
          <w:rFonts w:ascii="Times New Roman" w:hAnsi="Times New Roman"/>
          <w:sz w:val="24"/>
          <w:szCs w:val="24"/>
        </w:rPr>
        <w:t>.</w:t>
      </w:r>
      <w:r>
        <w:rPr>
          <w:rStyle w:val="FootnoteReference"/>
          <w:rFonts w:ascii="Times New Roman" w:hAnsi="Times New Roman"/>
          <w:sz w:val="24"/>
          <w:szCs w:val="24"/>
        </w:rPr>
        <w:footnoteReference w:id="61"/>
      </w:r>
    </w:p>
    <w:p w:rsidR="006B5F87" w:rsidRPr="00257791" w:rsidRDefault="00AD3A46" w:rsidP="00AD3A46">
      <w:pPr>
        <w:spacing w:before="240" w:line="360" w:lineRule="auto"/>
        <w:rPr>
          <w:rFonts w:ascii="Times New Roman" w:hAnsi="Times New Roman"/>
          <w:sz w:val="24"/>
          <w:szCs w:val="24"/>
        </w:rPr>
      </w:pPr>
      <w:r>
        <w:rPr>
          <w:rFonts w:ascii="Times New Roman" w:hAnsi="Times New Roman"/>
          <w:sz w:val="24"/>
          <w:szCs w:val="24"/>
        </w:rPr>
        <w:t xml:space="preserve">For Western governments and donors, </w:t>
      </w:r>
      <w:r w:rsidR="00362DAD">
        <w:rPr>
          <w:rFonts w:ascii="Times New Roman" w:hAnsi="Times New Roman"/>
          <w:sz w:val="24"/>
          <w:szCs w:val="24"/>
        </w:rPr>
        <w:t xml:space="preserve">funding for </w:t>
      </w:r>
      <w:r w:rsidR="003C6684">
        <w:rPr>
          <w:rFonts w:ascii="Times New Roman" w:hAnsi="Times New Roman"/>
          <w:sz w:val="24"/>
          <w:szCs w:val="24"/>
        </w:rPr>
        <w:t>a truth commission</w:t>
      </w:r>
      <w:r w:rsidR="00362DAD">
        <w:rPr>
          <w:rFonts w:ascii="Times New Roman" w:hAnsi="Times New Roman"/>
          <w:sz w:val="24"/>
          <w:szCs w:val="24"/>
        </w:rPr>
        <w:t xml:space="preserve"> had to be based on the fulfilment of certain criteria, notably the presence of </w:t>
      </w:r>
      <w:r>
        <w:rPr>
          <w:rFonts w:ascii="Times New Roman" w:hAnsi="Times New Roman"/>
          <w:sz w:val="24"/>
          <w:szCs w:val="24"/>
        </w:rPr>
        <w:t xml:space="preserve">domestic </w:t>
      </w:r>
      <w:r w:rsidR="00362DAD">
        <w:rPr>
          <w:rFonts w:ascii="Times New Roman" w:hAnsi="Times New Roman"/>
          <w:sz w:val="24"/>
          <w:szCs w:val="24"/>
        </w:rPr>
        <w:t xml:space="preserve">demand for such a mechanism and the prospect of genuine public </w:t>
      </w:r>
      <w:r>
        <w:rPr>
          <w:rFonts w:ascii="Times New Roman" w:hAnsi="Times New Roman"/>
          <w:sz w:val="24"/>
          <w:szCs w:val="24"/>
        </w:rPr>
        <w:t xml:space="preserve">legitimacy. And, as the US Embassy’s dispatch noted, </w:t>
      </w:r>
      <w:r>
        <w:rPr>
          <w:rFonts w:ascii="Times New Roman" w:hAnsi="Times New Roman"/>
          <w:sz w:val="24"/>
          <w:szCs w:val="24"/>
        </w:rPr>
        <w:lastRenderedPageBreak/>
        <w:t>‘although proponents of the truth commission argue that it will provide a catharsis that will help Bosnians move forward, it is not clear that a commission is what people really want’.</w:t>
      </w:r>
      <w:r>
        <w:rPr>
          <w:rStyle w:val="FootnoteReference"/>
          <w:rFonts w:ascii="Times New Roman" w:hAnsi="Times New Roman"/>
          <w:sz w:val="24"/>
          <w:szCs w:val="24"/>
        </w:rPr>
        <w:footnoteReference w:id="62"/>
      </w:r>
      <w:r w:rsidR="00362DAD">
        <w:rPr>
          <w:rFonts w:ascii="Times New Roman" w:hAnsi="Times New Roman"/>
          <w:sz w:val="24"/>
          <w:szCs w:val="24"/>
        </w:rPr>
        <w:t xml:space="preserve"> </w:t>
      </w:r>
      <w:r w:rsidR="003C6684">
        <w:rPr>
          <w:rFonts w:ascii="Times New Roman" w:hAnsi="Times New Roman"/>
          <w:sz w:val="24"/>
          <w:szCs w:val="24"/>
        </w:rPr>
        <w:t>This statement highlights the second</w:t>
      </w:r>
      <w:r w:rsidR="00216ED6">
        <w:rPr>
          <w:rFonts w:ascii="Times New Roman" w:hAnsi="Times New Roman"/>
          <w:sz w:val="24"/>
          <w:szCs w:val="24"/>
        </w:rPr>
        <w:t xml:space="preserve">, domestic, </w:t>
      </w:r>
      <w:r w:rsidR="003C6684">
        <w:rPr>
          <w:rFonts w:ascii="Times New Roman" w:hAnsi="Times New Roman"/>
          <w:sz w:val="24"/>
          <w:szCs w:val="24"/>
        </w:rPr>
        <w:t>pole</w:t>
      </w:r>
      <w:r w:rsidR="00E015DA">
        <w:rPr>
          <w:rFonts w:ascii="Times New Roman" w:hAnsi="Times New Roman"/>
          <w:sz w:val="24"/>
          <w:szCs w:val="24"/>
        </w:rPr>
        <w:t xml:space="preserve"> </w:t>
      </w:r>
      <w:r w:rsidR="003C6684">
        <w:rPr>
          <w:rFonts w:ascii="Times New Roman" w:hAnsi="Times New Roman"/>
          <w:sz w:val="24"/>
          <w:szCs w:val="24"/>
        </w:rPr>
        <w:t>of opposition to the TRC project that had emerged in the process</w:t>
      </w:r>
      <w:r w:rsidR="00362DAD">
        <w:rPr>
          <w:rFonts w:ascii="Times New Roman" w:hAnsi="Times New Roman"/>
          <w:sz w:val="24"/>
          <w:szCs w:val="24"/>
        </w:rPr>
        <w:t>.</w:t>
      </w:r>
    </w:p>
    <w:p w:rsidR="003C6684" w:rsidRDefault="00455A36" w:rsidP="00A32A2E">
      <w:pPr>
        <w:spacing w:after="0" w:line="360" w:lineRule="auto"/>
        <w:ind w:firstLine="720"/>
        <w:rPr>
          <w:rFonts w:ascii="Times New Roman" w:hAnsi="Times New Roman"/>
          <w:sz w:val="24"/>
        </w:rPr>
      </w:pPr>
      <w:r>
        <w:rPr>
          <w:rFonts w:ascii="Times New Roman" w:hAnsi="Times New Roman"/>
          <w:sz w:val="24"/>
        </w:rPr>
        <w:t xml:space="preserve">Domestically, the idea of a national TRC encountered resistance on both the political and </w:t>
      </w:r>
      <w:r w:rsidR="003C6684">
        <w:rPr>
          <w:rFonts w:ascii="Times New Roman" w:hAnsi="Times New Roman"/>
          <w:sz w:val="24"/>
        </w:rPr>
        <w:t>societal</w:t>
      </w:r>
      <w:r>
        <w:rPr>
          <w:rFonts w:ascii="Times New Roman" w:hAnsi="Times New Roman"/>
          <w:sz w:val="24"/>
        </w:rPr>
        <w:t xml:space="preserve"> levels.</w:t>
      </w:r>
      <w:r w:rsidR="003C6684">
        <w:rPr>
          <w:rFonts w:ascii="Times New Roman" w:hAnsi="Times New Roman"/>
          <w:sz w:val="24"/>
        </w:rPr>
        <w:t xml:space="preserve"> In the Bosnian Serb entity (Republika Srpska or RS), there was particular misgiving about the project of a national truth commission, aimed as it was at producing a nation-building narrative for a united Bosnian state—a state to which most Bosnian Serbs had no allegiance</w:t>
      </w:r>
      <w:r w:rsidR="003C6684" w:rsidRPr="003C6684">
        <w:rPr>
          <w:rFonts w:ascii="Times New Roman" w:hAnsi="Times New Roman" w:cs="Times New Roman"/>
          <w:sz w:val="24"/>
          <w:szCs w:val="24"/>
        </w:rPr>
        <w:t>.</w:t>
      </w:r>
      <w:r w:rsidR="003C6684">
        <w:rPr>
          <w:rStyle w:val="FootnoteReference"/>
          <w:rFonts w:ascii="Times New Roman" w:hAnsi="Times New Roman"/>
          <w:sz w:val="24"/>
        </w:rPr>
        <w:footnoteReference w:id="63"/>
      </w:r>
      <w:r w:rsidR="001E4037">
        <w:rPr>
          <w:rFonts w:ascii="Times New Roman" w:hAnsi="Times New Roman"/>
          <w:sz w:val="24"/>
        </w:rPr>
        <w:t xml:space="preserve"> </w:t>
      </w:r>
      <w:r w:rsidR="003C6684">
        <w:rPr>
          <w:rFonts w:ascii="Times New Roman" w:hAnsi="Times New Roman"/>
          <w:sz w:val="24"/>
        </w:rPr>
        <w:t xml:space="preserve">Bosnian Serb politicians </w:t>
      </w:r>
      <w:r w:rsidR="001E4037">
        <w:rPr>
          <w:rFonts w:ascii="Times New Roman" w:hAnsi="Times New Roman"/>
          <w:sz w:val="24"/>
        </w:rPr>
        <w:t xml:space="preserve">saw any all-Bosnian initiative as a threat to </w:t>
      </w:r>
      <w:r w:rsidR="003C6684">
        <w:rPr>
          <w:rFonts w:ascii="Times New Roman" w:hAnsi="Times New Roman"/>
          <w:sz w:val="24"/>
        </w:rPr>
        <w:t>the survival and autonomy of the RS</w:t>
      </w:r>
      <w:r w:rsidR="001E4037">
        <w:rPr>
          <w:rFonts w:ascii="Times New Roman" w:hAnsi="Times New Roman"/>
          <w:sz w:val="24"/>
        </w:rPr>
        <w:t xml:space="preserve"> and as an attempt to promote the perception</w:t>
      </w:r>
      <w:r w:rsidR="003C6684">
        <w:rPr>
          <w:rFonts w:ascii="Times New Roman" w:hAnsi="Times New Roman"/>
          <w:sz w:val="24"/>
        </w:rPr>
        <w:t xml:space="preserve"> that </w:t>
      </w:r>
      <w:r w:rsidR="001E4037">
        <w:rPr>
          <w:rFonts w:ascii="Times New Roman" w:hAnsi="Times New Roman"/>
          <w:sz w:val="24"/>
        </w:rPr>
        <w:t>the entity</w:t>
      </w:r>
      <w:r w:rsidR="003C6684">
        <w:rPr>
          <w:rFonts w:ascii="Times New Roman" w:hAnsi="Times New Roman"/>
          <w:sz w:val="24"/>
        </w:rPr>
        <w:t xml:space="preserve"> is a ‘genocidal creation, with no historical antecedents, based on ethnic cleansing’.</w:t>
      </w:r>
      <w:r w:rsidR="003C6684">
        <w:rPr>
          <w:rStyle w:val="FootnoteReference"/>
          <w:rFonts w:ascii="Times New Roman" w:hAnsi="Times New Roman"/>
          <w:sz w:val="24"/>
        </w:rPr>
        <w:footnoteReference w:id="64"/>
      </w:r>
      <w:r w:rsidR="003C6684">
        <w:rPr>
          <w:rFonts w:ascii="Times New Roman" w:hAnsi="Times New Roman"/>
          <w:sz w:val="24"/>
        </w:rPr>
        <w:t xml:space="preserve"> </w:t>
      </w:r>
      <w:r w:rsidR="003C6684" w:rsidRPr="009B525C">
        <w:rPr>
          <w:rFonts w:ascii="Times New Roman" w:hAnsi="Times New Roman" w:cs="Times New Roman"/>
          <w:sz w:val="24"/>
          <w:szCs w:val="24"/>
        </w:rPr>
        <w:t xml:space="preserve">Public opinion in </w:t>
      </w:r>
      <w:r w:rsidR="001E4037">
        <w:rPr>
          <w:rFonts w:ascii="Times New Roman" w:hAnsi="Times New Roman" w:cs="Times New Roman"/>
          <w:sz w:val="24"/>
          <w:szCs w:val="24"/>
        </w:rPr>
        <w:t xml:space="preserve">the </w:t>
      </w:r>
      <w:r w:rsidR="003C6684" w:rsidRPr="009B525C">
        <w:rPr>
          <w:rFonts w:ascii="Times New Roman" w:hAnsi="Times New Roman" w:cs="Times New Roman"/>
          <w:sz w:val="24"/>
          <w:szCs w:val="24"/>
        </w:rPr>
        <w:t xml:space="preserve">RS also generally </w:t>
      </w:r>
      <w:r w:rsidR="00FB62AE">
        <w:rPr>
          <w:rFonts w:ascii="Times New Roman" w:hAnsi="Times New Roman" w:cs="Times New Roman"/>
          <w:sz w:val="24"/>
          <w:szCs w:val="24"/>
        </w:rPr>
        <w:t>reflected little enthusiasm</w:t>
      </w:r>
      <w:r w:rsidR="003C6684" w:rsidRPr="009B525C">
        <w:rPr>
          <w:rFonts w:ascii="Times New Roman" w:hAnsi="Times New Roman" w:cs="Times New Roman"/>
          <w:sz w:val="24"/>
          <w:szCs w:val="24"/>
        </w:rPr>
        <w:t xml:space="preserve"> for a </w:t>
      </w:r>
      <w:r w:rsidR="003C6684">
        <w:rPr>
          <w:rFonts w:ascii="Times New Roman" w:hAnsi="Times New Roman" w:cs="Times New Roman"/>
          <w:sz w:val="24"/>
          <w:szCs w:val="24"/>
        </w:rPr>
        <w:t>national truth and reconciliation commission</w:t>
      </w:r>
      <w:r w:rsidR="003C6684" w:rsidRPr="009B525C">
        <w:rPr>
          <w:rFonts w:ascii="Times New Roman" w:hAnsi="Times New Roman" w:cs="Times New Roman"/>
          <w:sz w:val="24"/>
          <w:szCs w:val="24"/>
        </w:rPr>
        <w:t xml:space="preserve">. A 2010 poll showed that only 18% </w:t>
      </w:r>
      <w:r w:rsidR="003C6684">
        <w:rPr>
          <w:rFonts w:ascii="Times New Roman" w:hAnsi="Times New Roman" w:cs="Times New Roman"/>
          <w:sz w:val="24"/>
          <w:szCs w:val="24"/>
        </w:rPr>
        <w:t xml:space="preserve">of respondents </w:t>
      </w:r>
      <w:r w:rsidR="003C6684" w:rsidRPr="009B525C">
        <w:rPr>
          <w:rFonts w:ascii="Times New Roman" w:hAnsi="Times New Roman" w:cs="Times New Roman"/>
          <w:sz w:val="24"/>
          <w:szCs w:val="24"/>
        </w:rPr>
        <w:t xml:space="preserve">believed </w:t>
      </w:r>
      <w:r w:rsidR="00E015DA">
        <w:rPr>
          <w:rFonts w:ascii="Times New Roman" w:hAnsi="Times New Roman" w:cs="Times New Roman"/>
          <w:sz w:val="24"/>
          <w:szCs w:val="24"/>
        </w:rPr>
        <w:t xml:space="preserve">in the necessity of </w:t>
      </w:r>
      <w:r w:rsidR="003C6684" w:rsidRPr="009B525C">
        <w:rPr>
          <w:rFonts w:ascii="Times New Roman" w:hAnsi="Times New Roman" w:cs="Times New Roman"/>
          <w:sz w:val="24"/>
          <w:szCs w:val="24"/>
        </w:rPr>
        <w:t xml:space="preserve">‘a confrontation with the past and an acceptance of our own responsibility for the sake of a better future’. </w:t>
      </w:r>
      <w:r w:rsidR="003C6684">
        <w:rPr>
          <w:rFonts w:ascii="Times New Roman" w:hAnsi="Times New Roman" w:cs="Times New Roman"/>
          <w:sz w:val="24"/>
          <w:szCs w:val="24"/>
        </w:rPr>
        <w:t>Another</w:t>
      </w:r>
      <w:r w:rsidR="003C6684" w:rsidRPr="009B525C">
        <w:rPr>
          <w:rFonts w:ascii="Times New Roman" w:hAnsi="Times New Roman" w:cs="Times New Roman"/>
          <w:sz w:val="24"/>
          <w:szCs w:val="24"/>
        </w:rPr>
        <w:t xml:space="preserve"> 19% who were in favour thought such a confrontation was necessary only ‘to prove that we are not guilty’, while 39% </w:t>
      </w:r>
      <w:r w:rsidR="003C6684">
        <w:rPr>
          <w:rFonts w:ascii="Times New Roman" w:hAnsi="Times New Roman" w:cs="Times New Roman"/>
          <w:sz w:val="24"/>
          <w:szCs w:val="24"/>
        </w:rPr>
        <w:t>rejected the idea</w:t>
      </w:r>
      <w:r w:rsidR="003C6684" w:rsidRPr="009B525C">
        <w:rPr>
          <w:rFonts w:ascii="Times New Roman" w:hAnsi="Times New Roman" w:cs="Times New Roman"/>
          <w:sz w:val="24"/>
          <w:szCs w:val="24"/>
        </w:rPr>
        <w:t xml:space="preserve"> and 24% had no opinion. The same survey showed that only 26% in RS were in favour of a commission to investigate the crimes committed during the war, compared to 75% in Federation BiH, Bosnia’s other entity.</w:t>
      </w:r>
      <w:r w:rsidR="003C6684" w:rsidRPr="009B525C">
        <w:rPr>
          <w:rStyle w:val="FootnoteReference"/>
          <w:rFonts w:ascii="Times New Roman" w:hAnsi="Times New Roman" w:cs="Times New Roman"/>
          <w:sz w:val="24"/>
          <w:szCs w:val="24"/>
        </w:rPr>
        <w:footnoteReference w:id="65"/>
      </w:r>
      <w:r w:rsidR="001E4037">
        <w:rPr>
          <w:rFonts w:ascii="Times New Roman" w:hAnsi="Times New Roman" w:cs="Times New Roman"/>
          <w:sz w:val="24"/>
          <w:szCs w:val="24"/>
        </w:rPr>
        <w:t xml:space="preserve"> </w:t>
      </w:r>
    </w:p>
    <w:p w:rsidR="00261A5A" w:rsidRDefault="00DB6D4A" w:rsidP="00261A5A">
      <w:pPr>
        <w:spacing w:after="0" w:line="360" w:lineRule="auto"/>
        <w:ind w:firstLine="720"/>
        <w:rPr>
          <w:rFonts w:ascii="Times New Roman" w:hAnsi="Times New Roman"/>
          <w:sz w:val="24"/>
        </w:rPr>
      </w:pPr>
      <w:r>
        <w:rPr>
          <w:rFonts w:ascii="Times New Roman" w:hAnsi="Times New Roman"/>
          <w:sz w:val="24"/>
        </w:rPr>
        <w:t xml:space="preserve">The </w:t>
      </w:r>
      <w:r w:rsidR="00261A5A">
        <w:rPr>
          <w:rFonts w:ascii="Times New Roman" w:hAnsi="Times New Roman"/>
          <w:sz w:val="24"/>
        </w:rPr>
        <w:t>RS</w:t>
      </w:r>
      <w:r w:rsidR="004153FF">
        <w:rPr>
          <w:rFonts w:ascii="Times New Roman" w:hAnsi="Times New Roman"/>
          <w:sz w:val="24"/>
        </w:rPr>
        <w:t xml:space="preserve"> authorities’ refusal </w:t>
      </w:r>
      <w:r w:rsidR="00BD30B3">
        <w:rPr>
          <w:rFonts w:ascii="Times New Roman" w:hAnsi="Times New Roman"/>
          <w:sz w:val="24"/>
        </w:rPr>
        <w:t xml:space="preserve">to </w:t>
      </w:r>
      <w:r w:rsidR="00261A5A">
        <w:rPr>
          <w:rFonts w:ascii="Times New Roman" w:hAnsi="Times New Roman"/>
          <w:sz w:val="24"/>
        </w:rPr>
        <w:t xml:space="preserve">back </w:t>
      </w:r>
      <w:r w:rsidR="004153FF">
        <w:rPr>
          <w:rFonts w:ascii="Times New Roman" w:hAnsi="Times New Roman"/>
          <w:sz w:val="24"/>
        </w:rPr>
        <w:t>a</w:t>
      </w:r>
      <w:r w:rsidR="00261A5A">
        <w:rPr>
          <w:rFonts w:ascii="Times New Roman" w:hAnsi="Times New Roman"/>
          <w:sz w:val="24"/>
        </w:rPr>
        <w:t xml:space="preserve"> </w:t>
      </w:r>
      <w:r w:rsidR="004153FF">
        <w:rPr>
          <w:rFonts w:ascii="Times New Roman" w:hAnsi="Times New Roman"/>
          <w:sz w:val="24"/>
        </w:rPr>
        <w:t>national</w:t>
      </w:r>
      <w:r w:rsidR="00261A5A">
        <w:rPr>
          <w:rFonts w:ascii="Times New Roman" w:hAnsi="Times New Roman"/>
          <w:sz w:val="24"/>
        </w:rPr>
        <w:t xml:space="preserve"> </w:t>
      </w:r>
      <w:r w:rsidR="004153FF">
        <w:rPr>
          <w:rFonts w:ascii="Times New Roman" w:hAnsi="Times New Roman"/>
          <w:sz w:val="24"/>
        </w:rPr>
        <w:t>TRC</w:t>
      </w:r>
      <w:r w:rsidR="00BD30B3">
        <w:rPr>
          <w:rFonts w:ascii="Times New Roman" w:hAnsi="Times New Roman"/>
          <w:sz w:val="24"/>
        </w:rPr>
        <w:t xml:space="preserve"> </w:t>
      </w:r>
      <w:r w:rsidR="00953E83">
        <w:rPr>
          <w:rFonts w:ascii="Times New Roman" w:hAnsi="Times New Roman"/>
          <w:sz w:val="24"/>
        </w:rPr>
        <w:t>was</w:t>
      </w:r>
      <w:r>
        <w:rPr>
          <w:rFonts w:ascii="Times New Roman" w:hAnsi="Times New Roman"/>
          <w:sz w:val="24"/>
        </w:rPr>
        <w:t xml:space="preserve"> the most </w:t>
      </w:r>
      <w:r w:rsidR="004153FF">
        <w:rPr>
          <w:rFonts w:ascii="Times New Roman" w:hAnsi="Times New Roman"/>
          <w:sz w:val="24"/>
        </w:rPr>
        <w:t xml:space="preserve">open. However, </w:t>
      </w:r>
      <w:r w:rsidR="00BD30B3">
        <w:rPr>
          <w:rFonts w:ascii="Times New Roman" w:hAnsi="Times New Roman"/>
          <w:sz w:val="24"/>
        </w:rPr>
        <w:t>the reluctance</w:t>
      </w:r>
      <w:r w:rsidR="00073E38">
        <w:rPr>
          <w:rFonts w:ascii="Times New Roman" w:hAnsi="Times New Roman"/>
          <w:sz w:val="24"/>
        </w:rPr>
        <w:t xml:space="preserve"> of political parties</w:t>
      </w:r>
      <w:r w:rsidR="00BD30B3">
        <w:rPr>
          <w:rFonts w:ascii="Times New Roman" w:hAnsi="Times New Roman"/>
          <w:sz w:val="24"/>
        </w:rPr>
        <w:t xml:space="preserve"> to embrace ‘truth-t</w:t>
      </w:r>
      <w:r w:rsidR="00E015DA">
        <w:rPr>
          <w:rFonts w:ascii="Times New Roman" w:hAnsi="Times New Roman"/>
          <w:sz w:val="24"/>
        </w:rPr>
        <w:t>elling’ projects about the war wa</w:t>
      </w:r>
      <w:r w:rsidR="00BD30B3">
        <w:rPr>
          <w:rFonts w:ascii="Times New Roman" w:hAnsi="Times New Roman"/>
          <w:sz w:val="24"/>
        </w:rPr>
        <w:t xml:space="preserve">s </w:t>
      </w:r>
      <w:r w:rsidR="00261A5A">
        <w:rPr>
          <w:rFonts w:ascii="Times New Roman" w:hAnsi="Times New Roman"/>
          <w:sz w:val="24"/>
        </w:rPr>
        <w:t>not limited to the Serb entity</w:t>
      </w:r>
      <w:r w:rsidR="00BD30B3">
        <w:rPr>
          <w:rFonts w:ascii="Times New Roman" w:hAnsi="Times New Roman"/>
          <w:sz w:val="24"/>
        </w:rPr>
        <w:t>.</w:t>
      </w:r>
      <w:r w:rsidR="008D7316">
        <w:rPr>
          <w:rFonts w:ascii="Times New Roman" w:hAnsi="Times New Roman"/>
          <w:sz w:val="24"/>
        </w:rPr>
        <w:t xml:space="preserve"> The fact that</w:t>
      </w:r>
      <w:r w:rsidR="00073E38">
        <w:rPr>
          <w:rFonts w:ascii="Times New Roman" w:hAnsi="Times New Roman"/>
          <w:sz w:val="24"/>
        </w:rPr>
        <w:t xml:space="preserve"> </w:t>
      </w:r>
      <w:r w:rsidR="004153FF">
        <w:rPr>
          <w:rFonts w:ascii="Times New Roman" w:hAnsi="Times New Roman"/>
          <w:sz w:val="24"/>
        </w:rPr>
        <w:t xml:space="preserve">every </w:t>
      </w:r>
      <w:r w:rsidR="00073E38">
        <w:rPr>
          <w:rFonts w:ascii="Times New Roman" w:hAnsi="Times New Roman"/>
          <w:sz w:val="24"/>
        </w:rPr>
        <w:t>TRC initiative stalled when</w:t>
      </w:r>
      <w:r w:rsidR="00261A5A">
        <w:rPr>
          <w:rFonts w:ascii="Times New Roman" w:hAnsi="Times New Roman"/>
          <w:sz w:val="24"/>
        </w:rPr>
        <w:t xml:space="preserve"> it reached the political level</w:t>
      </w:r>
      <w:r w:rsidR="00073E38">
        <w:rPr>
          <w:rFonts w:ascii="Times New Roman" w:hAnsi="Times New Roman"/>
          <w:sz w:val="24"/>
        </w:rPr>
        <w:t xml:space="preserve"> </w:t>
      </w:r>
      <w:r w:rsidR="00E015DA">
        <w:rPr>
          <w:rFonts w:ascii="Times New Roman" w:hAnsi="Times New Roman"/>
          <w:sz w:val="24"/>
        </w:rPr>
        <w:t>wa</w:t>
      </w:r>
      <w:r w:rsidR="00073E38">
        <w:rPr>
          <w:rFonts w:ascii="Times New Roman" w:hAnsi="Times New Roman"/>
          <w:sz w:val="24"/>
        </w:rPr>
        <w:t>s t</w:t>
      </w:r>
      <w:r w:rsidR="00261A5A">
        <w:rPr>
          <w:rFonts w:ascii="Times New Roman" w:hAnsi="Times New Roman"/>
          <w:sz w:val="24"/>
        </w:rPr>
        <w:t xml:space="preserve">estimony to </w:t>
      </w:r>
      <w:r w:rsidR="004153FF">
        <w:rPr>
          <w:rFonts w:ascii="Times New Roman" w:hAnsi="Times New Roman"/>
          <w:sz w:val="24"/>
        </w:rPr>
        <w:t>a broader</w:t>
      </w:r>
      <w:r w:rsidR="00261A5A">
        <w:rPr>
          <w:rFonts w:ascii="Times New Roman" w:hAnsi="Times New Roman"/>
          <w:sz w:val="24"/>
        </w:rPr>
        <w:t xml:space="preserve"> problem. </w:t>
      </w:r>
      <w:r w:rsidR="004153FF">
        <w:rPr>
          <w:rFonts w:ascii="Times New Roman" w:hAnsi="Times New Roman"/>
          <w:sz w:val="24"/>
        </w:rPr>
        <w:t>T</w:t>
      </w:r>
      <w:r w:rsidR="00073E38">
        <w:rPr>
          <w:rFonts w:ascii="Times New Roman" w:hAnsi="Times New Roman"/>
          <w:sz w:val="24"/>
        </w:rPr>
        <w:t xml:space="preserve">he parliamentary </w:t>
      </w:r>
      <w:r w:rsidR="004153FF">
        <w:rPr>
          <w:rFonts w:ascii="Times New Roman" w:hAnsi="Times New Roman"/>
          <w:sz w:val="24"/>
        </w:rPr>
        <w:t>truth commission</w:t>
      </w:r>
      <w:r w:rsidR="00073E38">
        <w:rPr>
          <w:rFonts w:ascii="Times New Roman" w:hAnsi="Times New Roman"/>
          <w:sz w:val="24"/>
        </w:rPr>
        <w:t xml:space="preserve"> </w:t>
      </w:r>
      <w:r w:rsidR="00FB62AE">
        <w:rPr>
          <w:rFonts w:ascii="Times New Roman" w:hAnsi="Times New Roman"/>
          <w:sz w:val="24"/>
        </w:rPr>
        <w:t>phase</w:t>
      </w:r>
      <w:r w:rsidR="00073E38">
        <w:rPr>
          <w:rFonts w:ascii="Times New Roman" w:hAnsi="Times New Roman"/>
          <w:sz w:val="24"/>
        </w:rPr>
        <w:t xml:space="preserve"> of 2005-6 shows</w:t>
      </w:r>
      <w:r w:rsidR="004153FF">
        <w:rPr>
          <w:rFonts w:ascii="Times New Roman" w:hAnsi="Times New Roman"/>
          <w:sz w:val="24"/>
        </w:rPr>
        <w:t xml:space="preserve"> that—</w:t>
      </w:r>
      <w:r w:rsidR="00073E38">
        <w:rPr>
          <w:rFonts w:ascii="Times New Roman" w:hAnsi="Times New Roman"/>
          <w:sz w:val="24"/>
        </w:rPr>
        <w:t>a</w:t>
      </w:r>
      <w:r w:rsidR="00455A36">
        <w:rPr>
          <w:rFonts w:ascii="Times New Roman" w:hAnsi="Times New Roman"/>
          <w:sz w:val="24"/>
        </w:rPr>
        <w:t>lthough</w:t>
      </w:r>
      <w:r w:rsidR="004153FF">
        <w:rPr>
          <w:rFonts w:ascii="Times New Roman" w:hAnsi="Times New Roman"/>
          <w:sz w:val="24"/>
        </w:rPr>
        <w:t xml:space="preserve"> </w:t>
      </w:r>
      <w:r w:rsidR="006858BB">
        <w:rPr>
          <w:rFonts w:ascii="Times New Roman" w:hAnsi="Times New Roman"/>
          <w:sz w:val="24"/>
        </w:rPr>
        <w:t xml:space="preserve">no </w:t>
      </w:r>
      <w:r w:rsidR="00455A36">
        <w:rPr>
          <w:rFonts w:ascii="Times New Roman" w:hAnsi="Times New Roman"/>
          <w:sz w:val="24"/>
        </w:rPr>
        <w:t xml:space="preserve">political </w:t>
      </w:r>
      <w:r w:rsidR="006858BB">
        <w:rPr>
          <w:rFonts w:ascii="Times New Roman" w:hAnsi="Times New Roman"/>
          <w:sz w:val="24"/>
        </w:rPr>
        <w:t xml:space="preserve">party </w:t>
      </w:r>
      <w:r w:rsidR="00073E38">
        <w:rPr>
          <w:rFonts w:ascii="Times New Roman" w:hAnsi="Times New Roman"/>
          <w:sz w:val="24"/>
        </w:rPr>
        <w:t>openly</w:t>
      </w:r>
      <w:r w:rsidR="006858BB">
        <w:rPr>
          <w:rFonts w:ascii="Times New Roman" w:hAnsi="Times New Roman"/>
          <w:sz w:val="24"/>
        </w:rPr>
        <w:t xml:space="preserve"> </w:t>
      </w:r>
      <w:r w:rsidR="002810DF">
        <w:rPr>
          <w:rFonts w:ascii="Times New Roman" w:hAnsi="Times New Roman"/>
          <w:sz w:val="24"/>
        </w:rPr>
        <w:t>refused to</w:t>
      </w:r>
      <w:r w:rsidR="006858BB">
        <w:rPr>
          <w:rFonts w:ascii="Times New Roman" w:hAnsi="Times New Roman"/>
          <w:sz w:val="24"/>
        </w:rPr>
        <w:t xml:space="preserve"> </w:t>
      </w:r>
      <w:r w:rsidR="009B525C">
        <w:rPr>
          <w:rFonts w:ascii="Times New Roman" w:hAnsi="Times New Roman"/>
          <w:sz w:val="24"/>
        </w:rPr>
        <w:t>participate in</w:t>
      </w:r>
      <w:r w:rsidR="006858BB">
        <w:rPr>
          <w:rFonts w:ascii="Times New Roman" w:hAnsi="Times New Roman"/>
          <w:sz w:val="24"/>
        </w:rPr>
        <w:t xml:space="preserve"> the group</w:t>
      </w:r>
      <w:r w:rsidR="009B525C">
        <w:rPr>
          <w:rFonts w:ascii="Times New Roman" w:hAnsi="Times New Roman"/>
          <w:sz w:val="24"/>
        </w:rPr>
        <w:t>’s</w:t>
      </w:r>
      <w:r w:rsidR="00073E38">
        <w:rPr>
          <w:rFonts w:ascii="Times New Roman" w:hAnsi="Times New Roman"/>
          <w:sz w:val="24"/>
        </w:rPr>
        <w:t xml:space="preserve"> work on the draft law</w:t>
      </w:r>
      <w:r w:rsidR="004153FF">
        <w:rPr>
          <w:rFonts w:ascii="Times New Roman" w:hAnsi="Times New Roman"/>
          <w:sz w:val="24"/>
        </w:rPr>
        <w:t>—</w:t>
      </w:r>
      <w:r w:rsidR="00455A36">
        <w:rPr>
          <w:rFonts w:ascii="Times New Roman" w:hAnsi="Times New Roman"/>
          <w:sz w:val="24"/>
        </w:rPr>
        <w:t>this</w:t>
      </w:r>
      <w:r w:rsidR="004153FF">
        <w:rPr>
          <w:rFonts w:ascii="Times New Roman" w:hAnsi="Times New Roman"/>
          <w:sz w:val="24"/>
        </w:rPr>
        <w:t xml:space="preserve"> </w:t>
      </w:r>
      <w:r w:rsidR="00455A36">
        <w:rPr>
          <w:rFonts w:ascii="Times New Roman" w:hAnsi="Times New Roman"/>
          <w:sz w:val="24"/>
        </w:rPr>
        <w:t xml:space="preserve">commitment was </w:t>
      </w:r>
      <w:r w:rsidR="009B525C">
        <w:rPr>
          <w:rFonts w:ascii="Times New Roman" w:hAnsi="Times New Roman"/>
          <w:sz w:val="24"/>
        </w:rPr>
        <w:t xml:space="preserve">clearly </w:t>
      </w:r>
      <w:r w:rsidR="00455A36">
        <w:rPr>
          <w:rFonts w:ascii="Times New Roman" w:hAnsi="Times New Roman"/>
          <w:sz w:val="24"/>
        </w:rPr>
        <w:t xml:space="preserve">not sustained </w:t>
      </w:r>
      <w:r w:rsidR="00351E4D">
        <w:rPr>
          <w:rFonts w:ascii="Times New Roman" w:hAnsi="Times New Roman"/>
          <w:sz w:val="24"/>
        </w:rPr>
        <w:t>when</w:t>
      </w:r>
      <w:r w:rsidR="00971564">
        <w:rPr>
          <w:rFonts w:ascii="Times New Roman" w:hAnsi="Times New Roman"/>
          <w:sz w:val="24"/>
        </w:rPr>
        <w:t xml:space="preserve"> international </w:t>
      </w:r>
      <w:r w:rsidR="00FB62AE">
        <w:rPr>
          <w:rFonts w:ascii="Times New Roman" w:hAnsi="Times New Roman"/>
          <w:sz w:val="24"/>
        </w:rPr>
        <w:t>involvement</w:t>
      </w:r>
      <w:r w:rsidR="00971564">
        <w:rPr>
          <w:rFonts w:ascii="Times New Roman" w:hAnsi="Times New Roman"/>
          <w:sz w:val="24"/>
        </w:rPr>
        <w:t xml:space="preserve"> and support was withdrawn. I</w:t>
      </w:r>
      <w:r w:rsidR="00902E22">
        <w:rPr>
          <w:rFonts w:ascii="Times New Roman" w:hAnsi="Times New Roman"/>
          <w:sz w:val="24"/>
        </w:rPr>
        <w:t>ndeed,</w:t>
      </w:r>
      <w:r w:rsidR="009B525C">
        <w:rPr>
          <w:rFonts w:ascii="Times New Roman" w:hAnsi="Times New Roman"/>
          <w:sz w:val="24"/>
        </w:rPr>
        <w:t xml:space="preserve"> as</w:t>
      </w:r>
      <w:r w:rsidR="00902E22">
        <w:rPr>
          <w:rFonts w:ascii="Times New Roman" w:hAnsi="Times New Roman"/>
          <w:sz w:val="24"/>
        </w:rPr>
        <w:t xml:space="preserve"> one</w:t>
      </w:r>
      <w:r w:rsidR="00C4369D">
        <w:rPr>
          <w:rFonts w:ascii="Times New Roman" w:hAnsi="Times New Roman"/>
          <w:sz w:val="24"/>
        </w:rPr>
        <w:t xml:space="preserve"> </w:t>
      </w:r>
      <w:r w:rsidR="00902E22">
        <w:rPr>
          <w:rFonts w:ascii="Times New Roman" w:hAnsi="Times New Roman"/>
          <w:sz w:val="24"/>
        </w:rPr>
        <w:t xml:space="preserve">member of the parliamentary group </w:t>
      </w:r>
      <w:r w:rsidR="00073E38">
        <w:rPr>
          <w:rFonts w:ascii="Times New Roman" w:hAnsi="Times New Roman"/>
          <w:sz w:val="24"/>
        </w:rPr>
        <w:t>explained afterwards</w:t>
      </w:r>
      <w:r w:rsidR="00032E45">
        <w:rPr>
          <w:rFonts w:ascii="Times New Roman" w:hAnsi="Times New Roman"/>
          <w:sz w:val="24"/>
        </w:rPr>
        <w:t>, there was much s</w:t>
      </w:r>
      <w:r w:rsidR="0096328D">
        <w:rPr>
          <w:rFonts w:ascii="Times New Roman" w:hAnsi="Times New Roman"/>
          <w:sz w:val="24"/>
        </w:rPr>
        <w:t>k</w:t>
      </w:r>
      <w:r w:rsidR="00032E45">
        <w:rPr>
          <w:rFonts w:ascii="Times New Roman" w:hAnsi="Times New Roman"/>
          <w:sz w:val="24"/>
        </w:rPr>
        <w:t xml:space="preserve">epticism about </w:t>
      </w:r>
      <w:r w:rsidR="00902E22">
        <w:rPr>
          <w:rFonts w:ascii="Times New Roman" w:hAnsi="Times New Roman"/>
          <w:sz w:val="24"/>
        </w:rPr>
        <w:t xml:space="preserve">the project </w:t>
      </w:r>
      <w:r w:rsidR="00032E45">
        <w:rPr>
          <w:rFonts w:ascii="Times New Roman" w:hAnsi="Times New Roman"/>
          <w:sz w:val="24"/>
        </w:rPr>
        <w:t>even within the working group</w:t>
      </w:r>
      <w:r w:rsidR="00073E38">
        <w:rPr>
          <w:rFonts w:ascii="Times New Roman" w:hAnsi="Times New Roman"/>
          <w:sz w:val="24"/>
        </w:rPr>
        <w:t xml:space="preserve"> itself</w:t>
      </w:r>
      <w:r w:rsidR="00032E45">
        <w:rPr>
          <w:rFonts w:ascii="Times New Roman" w:hAnsi="Times New Roman"/>
          <w:sz w:val="24"/>
        </w:rPr>
        <w:t xml:space="preserve">, </w:t>
      </w:r>
      <w:r w:rsidR="00032E45">
        <w:rPr>
          <w:rFonts w:ascii="Times New Roman" w:hAnsi="Times New Roman"/>
          <w:sz w:val="24"/>
        </w:rPr>
        <w:lastRenderedPageBreak/>
        <w:t>but no party wished to</w:t>
      </w:r>
      <w:r w:rsidR="00C4369D">
        <w:rPr>
          <w:rFonts w:ascii="Times New Roman" w:hAnsi="Times New Roman"/>
          <w:sz w:val="24"/>
        </w:rPr>
        <w:t xml:space="preserve"> </w:t>
      </w:r>
      <w:r w:rsidR="002810DF">
        <w:rPr>
          <w:rFonts w:ascii="Times New Roman" w:hAnsi="Times New Roman"/>
          <w:sz w:val="24"/>
        </w:rPr>
        <w:t>appear</w:t>
      </w:r>
      <w:r w:rsidR="00C4369D">
        <w:rPr>
          <w:rFonts w:ascii="Times New Roman" w:hAnsi="Times New Roman"/>
          <w:sz w:val="24"/>
        </w:rPr>
        <w:t xml:space="preserve"> obstructionist.</w:t>
      </w:r>
      <w:r w:rsidR="00C4369D">
        <w:rPr>
          <w:rStyle w:val="FootnoteReference"/>
          <w:rFonts w:ascii="Times New Roman" w:hAnsi="Times New Roman"/>
          <w:sz w:val="24"/>
        </w:rPr>
        <w:footnoteReference w:id="66"/>
      </w:r>
      <w:r w:rsidR="00902E22">
        <w:rPr>
          <w:rFonts w:ascii="Times New Roman" w:hAnsi="Times New Roman"/>
          <w:sz w:val="24"/>
        </w:rPr>
        <w:t xml:space="preserve"> </w:t>
      </w:r>
      <w:r w:rsidR="00BD30B3">
        <w:rPr>
          <w:rFonts w:ascii="Times New Roman" w:hAnsi="Times New Roman"/>
          <w:sz w:val="24"/>
        </w:rPr>
        <w:t xml:space="preserve">While no official documentation or transcripts exist to corroborate this, it </w:t>
      </w:r>
      <w:r w:rsidR="00073E38">
        <w:rPr>
          <w:rFonts w:ascii="Times New Roman" w:hAnsi="Times New Roman"/>
          <w:sz w:val="24"/>
        </w:rPr>
        <w:t>supports the point made in the literature that</w:t>
      </w:r>
      <w:r w:rsidR="00191024">
        <w:rPr>
          <w:rFonts w:ascii="Times New Roman" w:hAnsi="Times New Roman"/>
          <w:sz w:val="24"/>
        </w:rPr>
        <w:t xml:space="preserve"> the largest parties </w:t>
      </w:r>
      <w:r w:rsidR="00032E45">
        <w:rPr>
          <w:rFonts w:ascii="Times New Roman" w:hAnsi="Times New Roman"/>
          <w:sz w:val="24"/>
        </w:rPr>
        <w:t xml:space="preserve">and their leaders had little to gain and possibly much to lose </w:t>
      </w:r>
      <w:r w:rsidR="00191024">
        <w:rPr>
          <w:rFonts w:ascii="Times New Roman" w:hAnsi="Times New Roman"/>
          <w:sz w:val="24"/>
        </w:rPr>
        <w:t>from the disclosure of evidence of their own actions during the 1990s</w:t>
      </w:r>
      <w:r w:rsidR="00073E38">
        <w:rPr>
          <w:rFonts w:ascii="Times New Roman" w:hAnsi="Times New Roman"/>
          <w:sz w:val="24"/>
        </w:rPr>
        <w:t xml:space="preserve"> and </w:t>
      </w:r>
      <w:r w:rsidR="00261A5A">
        <w:rPr>
          <w:rFonts w:ascii="Times New Roman" w:hAnsi="Times New Roman"/>
          <w:sz w:val="24"/>
        </w:rPr>
        <w:t>continue</w:t>
      </w:r>
      <w:r w:rsidR="00D37CD9">
        <w:rPr>
          <w:rFonts w:ascii="Times New Roman" w:hAnsi="Times New Roman"/>
          <w:sz w:val="24"/>
        </w:rPr>
        <w:t>d</w:t>
      </w:r>
      <w:r w:rsidR="00073E38">
        <w:rPr>
          <w:rFonts w:ascii="Times New Roman" w:hAnsi="Times New Roman"/>
          <w:sz w:val="24"/>
        </w:rPr>
        <w:t xml:space="preserve"> to prefer </w:t>
      </w:r>
      <w:r w:rsidR="00261A5A">
        <w:rPr>
          <w:rFonts w:ascii="Times New Roman" w:hAnsi="Times New Roman"/>
          <w:sz w:val="24"/>
        </w:rPr>
        <w:t>simple narratives of collective victimhood of their own group</w:t>
      </w:r>
      <w:r w:rsidR="00191024">
        <w:rPr>
          <w:rFonts w:ascii="Times New Roman" w:hAnsi="Times New Roman"/>
          <w:sz w:val="24"/>
        </w:rPr>
        <w:t>.</w:t>
      </w:r>
      <w:r w:rsidR="00073E38">
        <w:rPr>
          <w:rStyle w:val="FootnoteReference"/>
          <w:rFonts w:ascii="Times New Roman" w:hAnsi="Times New Roman"/>
          <w:sz w:val="24"/>
        </w:rPr>
        <w:footnoteReference w:id="67"/>
      </w:r>
    </w:p>
    <w:p w:rsidR="003C689C" w:rsidRDefault="004153FF" w:rsidP="00261A5A">
      <w:pPr>
        <w:spacing w:after="0" w:line="360" w:lineRule="auto"/>
        <w:ind w:firstLine="720"/>
        <w:rPr>
          <w:rFonts w:ascii="Times New Roman" w:hAnsi="Times New Roman"/>
          <w:sz w:val="24"/>
        </w:rPr>
      </w:pPr>
      <w:r>
        <w:rPr>
          <w:rFonts w:ascii="Times New Roman" w:hAnsi="Times New Roman"/>
          <w:sz w:val="24"/>
        </w:rPr>
        <w:t>Whereas</w:t>
      </w:r>
      <w:r w:rsidR="00BF1C08">
        <w:rPr>
          <w:rFonts w:ascii="Times New Roman" w:hAnsi="Times New Roman"/>
          <w:sz w:val="24"/>
        </w:rPr>
        <w:t xml:space="preserve"> the political stumbling blocks were predictable, more surprising was the resistance to the </w:t>
      </w:r>
      <w:r w:rsidR="00494FCD">
        <w:rPr>
          <w:rFonts w:ascii="Times New Roman" w:hAnsi="Times New Roman"/>
          <w:sz w:val="24"/>
        </w:rPr>
        <w:t>TRC</w:t>
      </w:r>
      <w:r w:rsidR="00BF1C08">
        <w:rPr>
          <w:rFonts w:ascii="Times New Roman" w:hAnsi="Times New Roman"/>
          <w:sz w:val="24"/>
        </w:rPr>
        <w:t xml:space="preserve"> project emanating</w:t>
      </w:r>
      <w:r w:rsidR="008119DB">
        <w:rPr>
          <w:rFonts w:ascii="Times New Roman" w:hAnsi="Times New Roman"/>
          <w:sz w:val="24"/>
        </w:rPr>
        <w:t xml:space="preserve"> from Bosnian </w:t>
      </w:r>
      <w:r w:rsidR="009C1DF7">
        <w:rPr>
          <w:rFonts w:ascii="Times New Roman" w:hAnsi="Times New Roman"/>
          <w:sz w:val="24"/>
        </w:rPr>
        <w:t>victim associations—</w:t>
      </w:r>
      <w:r w:rsidR="00BF1C08">
        <w:rPr>
          <w:rFonts w:ascii="Times New Roman" w:hAnsi="Times New Roman"/>
          <w:sz w:val="24"/>
        </w:rPr>
        <w:t>precisely</w:t>
      </w:r>
      <w:r w:rsidR="009C1DF7">
        <w:rPr>
          <w:rFonts w:ascii="Times New Roman" w:hAnsi="Times New Roman"/>
          <w:sz w:val="24"/>
        </w:rPr>
        <w:t xml:space="preserve"> </w:t>
      </w:r>
      <w:r w:rsidR="00AA09B6">
        <w:rPr>
          <w:rFonts w:ascii="Times New Roman" w:hAnsi="Times New Roman"/>
          <w:sz w:val="24"/>
        </w:rPr>
        <w:t>those groups that</w:t>
      </w:r>
      <w:r w:rsidR="004B59E4">
        <w:rPr>
          <w:rFonts w:ascii="Times New Roman" w:hAnsi="Times New Roman"/>
          <w:sz w:val="24"/>
        </w:rPr>
        <w:t>, according to much of the transitional justice literature,</w:t>
      </w:r>
      <w:r w:rsidR="00AA09B6">
        <w:rPr>
          <w:rFonts w:ascii="Times New Roman" w:hAnsi="Times New Roman"/>
          <w:sz w:val="24"/>
        </w:rPr>
        <w:t xml:space="preserve"> should have been its </w:t>
      </w:r>
      <w:r w:rsidR="008119DB">
        <w:rPr>
          <w:rFonts w:ascii="Times New Roman" w:hAnsi="Times New Roman"/>
          <w:sz w:val="24"/>
        </w:rPr>
        <w:t>greatest</w:t>
      </w:r>
      <w:r w:rsidR="009C1DF7">
        <w:rPr>
          <w:rFonts w:ascii="Times New Roman" w:hAnsi="Times New Roman"/>
          <w:sz w:val="24"/>
        </w:rPr>
        <w:t xml:space="preserve"> beneficiaries and</w:t>
      </w:r>
      <w:r w:rsidR="00AA09B6">
        <w:rPr>
          <w:rFonts w:ascii="Times New Roman" w:hAnsi="Times New Roman"/>
          <w:sz w:val="24"/>
        </w:rPr>
        <w:t xml:space="preserve"> </w:t>
      </w:r>
      <w:r w:rsidR="00100C98">
        <w:rPr>
          <w:rFonts w:ascii="Times New Roman" w:hAnsi="Times New Roman"/>
          <w:sz w:val="24"/>
        </w:rPr>
        <w:t>supporters</w:t>
      </w:r>
      <w:r w:rsidR="00AE1404">
        <w:rPr>
          <w:rFonts w:ascii="Times New Roman" w:hAnsi="Times New Roman"/>
          <w:sz w:val="24"/>
        </w:rPr>
        <w:t>.</w:t>
      </w:r>
      <w:r w:rsidR="00AE1404">
        <w:rPr>
          <w:rStyle w:val="FootnoteReference"/>
          <w:rFonts w:ascii="Times New Roman" w:hAnsi="Times New Roman"/>
          <w:sz w:val="24"/>
        </w:rPr>
        <w:footnoteReference w:id="68"/>
      </w:r>
      <w:r w:rsidR="00235B77">
        <w:rPr>
          <w:rFonts w:ascii="Times New Roman" w:hAnsi="Times New Roman"/>
          <w:sz w:val="24"/>
        </w:rPr>
        <w:t xml:space="preserve"> </w:t>
      </w:r>
      <w:r w:rsidR="00494FCD">
        <w:rPr>
          <w:rFonts w:ascii="Times New Roman" w:hAnsi="Times New Roman"/>
          <w:sz w:val="24"/>
        </w:rPr>
        <w:t>Yet,</w:t>
      </w:r>
      <w:r>
        <w:rPr>
          <w:rFonts w:ascii="Times New Roman" w:hAnsi="Times New Roman"/>
          <w:sz w:val="24"/>
        </w:rPr>
        <w:t xml:space="preserve"> as was </w:t>
      </w:r>
      <w:r w:rsidR="00C27481">
        <w:rPr>
          <w:rFonts w:ascii="Times New Roman" w:hAnsi="Times New Roman"/>
          <w:sz w:val="24"/>
        </w:rPr>
        <w:t>reported</w:t>
      </w:r>
      <w:r>
        <w:rPr>
          <w:rFonts w:ascii="Times New Roman" w:hAnsi="Times New Roman"/>
          <w:sz w:val="24"/>
        </w:rPr>
        <w:t xml:space="preserve"> in the Bosnian media</w:t>
      </w:r>
      <w:r w:rsidR="00494FCD">
        <w:rPr>
          <w:rFonts w:ascii="Times New Roman" w:hAnsi="Times New Roman"/>
          <w:sz w:val="24"/>
        </w:rPr>
        <w:t xml:space="preserve"> in</w:t>
      </w:r>
      <w:r w:rsidR="00A05097">
        <w:rPr>
          <w:rFonts w:ascii="Times New Roman" w:hAnsi="Times New Roman"/>
          <w:sz w:val="24"/>
        </w:rPr>
        <w:t xml:space="preserve"> 2001, </w:t>
      </w:r>
      <w:r>
        <w:rPr>
          <w:rFonts w:ascii="Times New Roman" w:hAnsi="Times New Roman"/>
          <w:sz w:val="24"/>
        </w:rPr>
        <w:t>victim associations</w:t>
      </w:r>
      <w:r w:rsidR="00E74BFA">
        <w:rPr>
          <w:rFonts w:ascii="Times New Roman" w:hAnsi="Times New Roman"/>
          <w:sz w:val="24"/>
        </w:rPr>
        <w:t xml:space="preserve"> belonging to all three </w:t>
      </w:r>
      <w:r w:rsidR="0019358E">
        <w:rPr>
          <w:rFonts w:ascii="Times New Roman" w:hAnsi="Times New Roman"/>
          <w:sz w:val="24"/>
        </w:rPr>
        <w:t xml:space="preserve">of Bosnia’s </w:t>
      </w:r>
      <w:r w:rsidR="00E74BFA">
        <w:rPr>
          <w:rFonts w:ascii="Times New Roman" w:hAnsi="Times New Roman"/>
          <w:sz w:val="24"/>
        </w:rPr>
        <w:t>national groups ‘had a unanimous position... they rejected the idea of creating a commission’.</w:t>
      </w:r>
      <w:r w:rsidR="00E74BFA">
        <w:rPr>
          <w:rStyle w:val="FootnoteReference"/>
          <w:rFonts w:ascii="Times New Roman" w:hAnsi="Times New Roman"/>
          <w:sz w:val="24"/>
        </w:rPr>
        <w:footnoteReference w:id="69"/>
      </w:r>
      <w:r w:rsidR="00C27481">
        <w:rPr>
          <w:rFonts w:ascii="Times New Roman" w:hAnsi="Times New Roman"/>
          <w:sz w:val="24"/>
        </w:rPr>
        <w:t xml:space="preserve"> </w:t>
      </w:r>
      <w:r w:rsidR="00100C98">
        <w:rPr>
          <w:rFonts w:ascii="Times New Roman" w:hAnsi="Times New Roman"/>
          <w:sz w:val="24"/>
        </w:rPr>
        <w:t xml:space="preserve">One explanation proposed by </w:t>
      </w:r>
      <w:r w:rsidR="0019358E">
        <w:rPr>
          <w:rFonts w:ascii="Times New Roman" w:hAnsi="Times New Roman"/>
          <w:sz w:val="24"/>
        </w:rPr>
        <w:t xml:space="preserve">Bosnian NGO </w:t>
      </w:r>
      <w:r w:rsidR="00100C98">
        <w:rPr>
          <w:rFonts w:ascii="Times New Roman" w:hAnsi="Times New Roman"/>
          <w:sz w:val="24"/>
        </w:rPr>
        <w:t>activists for</w:t>
      </w:r>
      <w:r w:rsidR="0019358E">
        <w:rPr>
          <w:rFonts w:ascii="Times New Roman" w:hAnsi="Times New Roman"/>
          <w:sz w:val="24"/>
        </w:rPr>
        <w:t xml:space="preserve"> this </w:t>
      </w:r>
      <w:r w:rsidR="00100C98">
        <w:rPr>
          <w:rFonts w:ascii="Times New Roman" w:hAnsi="Times New Roman"/>
          <w:sz w:val="24"/>
        </w:rPr>
        <w:t>stance</w:t>
      </w:r>
      <w:r w:rsidR="003C689C">
        <w:rPr>
          <w:rFonts w:ascii="Times New Roman" w:hAnsi="Times New Roman"/>
          <w:sz w:val="24"/>
        </w:rPr>
        <w:t xml:space="preserve"> </w:t>
      </w:r>
      <w:r w:rsidR="00100C98">
        <w:rPr>
          <w:rFonts w:ascii="Times New Roman" w:hAnsi="Times New Roman"/>
          <w:sz w:val="24"/>
        </w:rPr>
        <w:t>w</w:t>
      </w:r>
      <w:r w:rsidR="00A57407">
        <w:rPr>
          <w:rFonts w:ascii="Times New Roman" w:hAnsi="Times New Roman"/>
          <w:sz w:val="24"/>
        </w:rPr>
        <w:t>as the</w:t>
      </w:r>
      <w:r w:rsidR="00A05097">
        <w:rPr>
          <w:rFonts w:ascii="Times New Roman" w:hAnsi="Times New Roman"/>
          <w:sz w:val="24"/>
        </w:rPr>
        <w:t xml:space="preserve"> dependence of</w:t>
      </w:r>
      <w:r w:rsidR="007258B4">
        <w:rPr>
          <w:rFonts w:ascii="Times New Roman" w:hAnsi="Times New Roman"/>
          <w:sz w:val="24"/>
        </w:rPr>
        <w:t xml:space="preserve"> many victim associations on political parties</w:t>
      </w:r>
      <w:r w:rsidR="00B15269">
        <w:rPr>
          <w:rFonts w:ascii="Times New Roman" w:hAnsi="Times New Roman"/>
          <w:sz w:val="24"/>
        </w:rPr>
        <w:t>—</w:t>
      </w:r>
      <w:r w:rsidR="00A05097">
        <w:rPr>
          <w:rFonts w:ascii="Times New Roman" w:hAnsi="Times New Roman"/>
          <w:sz w:val="24"/>
        </w:rPr>
        <w:t>wh</w:t>
      </w:r>
      <w:r w:rsidR="003C689C">
        <w:rPr>
          <w:rFonts w:ascii="Times New Roman" w:hAnsi="Times New Roman"/>
          <w:sz w:val="24"/>
        </w:rPr>
        <w:t>ich</w:t>
      </w:r>
      <w:r w:rsidR="00B15269">
        <w:rPr>
          <w:rFonts w:ascii="Times New Roman" w:hAnsi="Times New Roman"/>
          <w:sz w:val="24"/>
        </w:rPr>
        <w:t xml:space="preserve"> </w:t>
      </w:r>
      <w:r w:rsidR="006D1B80">
        <w:rPr>
          <w:rFonts w:ascii="Times New Roman" w:hAnsi="Times New Roman"/>
          <w:sz w:val="24"/>
        </w:rPr>
        <w:t>distrusted</w:t>
      </w:r>
      <w:r w:rsidR="00A05097">
        <w:rPr>
          <w:rFonts w:ascii="Times New Roman" w:hAnsi="Times New Roman"/>
          <w:sz w:val="24"/>
        </w:rPr>
        <w:t xml:space="preserve"> the NGO-led project for a truth commission</w:t>
      </w:r>
      <w:r w:rsidR="007258B4">
        <w:rPr>
          <w:rFonts w:ascii="Times New Roman" w:hAnsi="Times New Roman"/>
          <w:sz w:val="24"/>
        </w:rPr>
        <w:t>.</w:t>
      </w:r>
      <w:r w:rsidR="007258B4">
        <w:rPr>
          <w:rStyle w:val="FootnoteReference"/>
          <w:rFonts w:ascii="Times New Roman" w:hAnsi="Times New Roman"/>
          <w:sz w:val="24"/>
        </w:rPr>
        <w:footnoteReference w:id="70"/>
      </w:r>
      <w:r w:rsidR="00A05097">
        <w:rPr>
          <w:rFonts w:ascii="Times New Roman" w:hAnsi="Times New Roman"/>
          <w:sz w:val="24"/>
        </w:rPr>
        <w:t xml:space="preserve"> </w:t>
      </w:r>
      <w:r w:rsidR="00C27481">
        <w:rPr>
          <w:rFonts w:ascii="Times New Roman" w:hAnsi="Times New Roman"/>
          <w:sz w:val="24"/>
        </w:rPr>
        <w:t xml:space="preserve">While </w:t>
      </w:r>
      <w:r w:rsidR="00B15269">
        <w:rPr>
          <w:rFonts w:ascii="Times New Roman" w:hAnsi="Times New Roman"/>
          <w:sz w:val="24"/>
        </w:rPr>
        <w:t xml:space="preserve">such relations of dependence </w:t>
      </w:r>
      <w:r w:rsidR="00AE4CF4">
        <w:rPr>
          <w:rFonts w:ascii="Times New Roman" w:hAnsi="Times New Roman"/>
          <w:sz w:val="24"/>
        </w:rPr>
        <w:t>have</w:t>
      </w:r>
      <w:r w:rsidR="00C27481">
        <w:rPr>
          <w:rFonts w:ascii="Times New Roman" w:hAnsi="Times New Roman"/>
          <w:sz w:val="24"/>
        </w:rPr>
        <w:t xml:space="preserve"> indeed </w:t>
      </w:r>
      <w:r w:rsidR="00AE4CF4">
        <w:rPr>
          <w:rFonts w:ascii="Times New Roman" w:hAnsi="Times New Roman"/>
          <w:sz w:val="24"/>
        </w:rPr>
        <w:t xml:space="preserve">been </w:t>
      </w:r>
      <w:r w:rsidR="00C27481">
        <w:rPr>
          <w:rFonts w:ascii="Times New Roman" w:hAnsi="Times New Roman"/>
          <w:sz w:val="24"/>
        </w:rPr>
        <w:t>a problem in Bosnia</w:t>
      </w:r>
      <w:r w:rsidR="00A05097">
        <w:rPr>
          <w:rFonts w:ascii="Times New Roman" w:hAnsi="Times New Roman"/>
          <w:sz w:val="24"/>
        </w:rPr>
        <w:t>,</w:t>
      </w:r>
      <w:r w:rsidR="00C27481">
        <w:rPr>
          <w:rStyle w:val="FootnoteReference"/>
          <w:rFonts w:ascii="Times New Roman" w:hAnsi="Times New Roman"/>
          <w:sz w:val="24"/>
        </w:rPr>
        <w:footnoteReference w:id="71"/>
      </w:r>
      <w:r w:rsidR="00A05097">
        <w:rPr>
          <w:rFonts w:ascii="Times New Roman" w:hAnsi="Times New Roman"/>
          <w:sz w:val="24"/>
        </w:rPr>
        <w:t xml:space="preserve"> </w:t>
      </w:r>
      <w:r w:rsidR="00C27481">
        <w:rPr>
          <w:rFonts w:ascii="Times New Roman" w:hAnsi="Times New Roman"/>
          <w:sz w:val="24"/>
        </w:rPr>
        <w:t>the</w:t>
      </w:r>
      <w:r w:rsidR="00A05097">
        <w:rPr>
          <w:rFonts w:ascii="Times New Roman" w:hAnsi="Times New Roman"/>
          <w:sz w:val="24"/>
        </w:rPr>
        <w:t xml:space="preserve"> reluctance on the part of victim associations became even more </w:t>
      </w:r>
      <w:r w:rsidR="00100C98">
        <w:rPr>
          <w:rFonts w:ascii="Times New Roman" w:hAnsi="Times New Roman"/>
          <w:sz w:val="24"/>
        </w:rPr>
        <w:t>pronounced</w:t>
      </w:r>
      <w:r w:rsidR="00A05097">
        <w:rPr>
          <w:rFonts w:ascii="Times New Roman" w:hAnsi="Times New Roman"/>
          <w:sz w:val="24"/>
        </w:rPr>
        <w:t xml:space="preserve"> during the second</w:t>
      </w:r>
      <w:r w:rsidR="00AE4CF4">
        <w:rPr>
          <w:rFonts w:ascii="Times New Roman" w:hAnsi="Times New Roman"/>
          <w:sz w:val="24"/>
        </w:rPr>
        <w:t xml:space="preserve"> phase of the</w:t>
      </w:r>
      <w:r w:rsidR="00A05097">
        <w:rPr>
          <w:rFonts w:ascii="Times New Roman" w:hAnsi="Times New Roman"/>
          <w:sz w:val="24"/>
        </w:rPr>
        <w:t xml:space="preserve"> initiative</w:t>
      </w:r>
      <w:r w:rsidR="00100C98">
        <w:rPr>
          <w:rFonts w:ascii="Times New Roman" w:hAnsi="Times New Roman"/>
          <w:sz w:val="24"/>
        </w:rPr>
        <w:t>,</w:t>
      </w:r>
      <w:r w:rsidR="00A05097">
        <w:rPr>
          <w:rFonts w:ascii="Times New Roman" w:hAnsi="Times New Roman"/>
          <w:sz w:val="24"/>
        </w:rPr>
        <w:t xml:space="preserve"> </w:t>
      </w:r>
      <w:r w:rsidR="00CD1A03">
        <w:rPr>
          <w:rFonts w:ascii="Times New Roman" w:hAnsi="Times New Roman"/>
          <w:sz w:val="24"/>
        </w:rPr>
        <w:t xml:space="preserve">despite the </w:t>
      </w:r>
      <w:r w:rsidR="00A05097">
        <w:rPr>
          <w:rFonts w:ascii="Times New Roman" w:hAnsi="Times New Roman"/>
          <w:sz w:val="24"/>
        </w:rPr>
        <w:t>involv</w:t>
      </w:r>
      <w:r w:rsidR="00CD1A03">
        <w:rPr>
          <w:rFonts w:ascii="Times New Roman" w:hAnsi="Times New Roman"/>
          <w:sz w:val="24"/>
        </w:rPr>
        <w:t>ement of</w:t>
      </w:r>
      <w:r w:rsidR="00A05097">
        <w:rPr>
          <w:rFonts w:ascii="Times New Roman" w:hAnsi="Times New Roman"/>
          <w:sz w:val="24"/>
        </w:rPr>
        <w:t xml:space="preserve"> political parties</w:t>
      </w:r>
      <w:r w:rsidR="00100C98">
        <w:rPr>
          <w:rFonts w:ascii="Times New Roman" w:hAnsi="Times New Roman"/>
          <w:sz w:val="24"/>
        </w:rPr>
        <w:t xml:space="preserve"> this time round</w:t>
      </w:r>
      <w:r w:rsidR="008D7316">
        <w:rPr>
          <w:rFonts w:ascii="Times New Roman" w:hAnsi="Times New Roman"/>
          <w:sz w:val="24"/>
        </w:rPr>
        <w:t>,</w:t>
      </w:r>
      <w:r w:rsidR="0096328D">
        <w:rPr>
          <w:rFonts w:ascii="Times New Roman" w:hAnsi="Times New Roman"/>
          <w:sz w:val="24"/>
        </w:rPr>
        <w:t xml:space="preserve"> thus</w:t>
      </w:r>
      <w:r w:rsidR="008D7316">
        <w:rPr>
          <w:rFonts w:ascii="Times New Roman" w:hAnsi="Times New Roman"/>
          <w:sz w:val="24"/>
        </w:rPr>
        <w:t xml:space="preserve"> </w:t>
      </w:r>
      <w:r w:rsidR="006D1B80">
        <w:rPr>
          <w:rFonts w:ascii="Times New Roman" w:hAnsi="Times New Roman"/>
          <w:sz w:val="24"/>
        </w:rPr>
        <w:t>testifying to the presence of other reasons</w:t>
      </w:r>
      <w:r w:rsidR="00C27481">
        <w:rPr>
          <w:rFonts w:ascii="Times New Roman" w:hAnsi="Times New Roman"/>
          <w:sz w:val="24"/>
        </w:rPr>
        <w:t>.</w:t>
      </w:r>
      <w:r w:rsidR="00B15269">
        <w:rPr>
          <w:rStyle w:val="FootnoteReference"/>
          <w:rFonts w:ascii="Times New Roman" w:hAnsi="Times New Roman"/>
          <w:sz w:val="24"/>
        </w:rPr>
        <w:footnoteReference w:id="72"/>
      </w:r>
    </w:p>
    <w:p w:rsidR="00F1734D" w:rsidRDefault="00447D15" w:rsidP="00A32A2E">
      <w:pPr>
        <w:spacing w:after="0" w:line="360" w:lineRule="auto"/>
        <w:ind w:firstLine="720"/>
        <w:rPr>
          <w:rFonts w:ascii="Times New Roman" w:hAnsi="Times New Roman"/>
          <w:sz w:val="24"/>
        </w:rPr>
      </w:pPr>
      <w:r>
        <w:rPr>
          <w:rFonts w:ascii="Times New Roman" w:hAnsi="Times New Roman"/>
          <w:sz w:val="24"/>
        </w:rPr>
        <w:lastRenderedPageBreak/>
        <w:t>One important</w:t>
      </w:r>
      <w:r w:rsidR="003C689C">
        <w:rPr>
          <w:rFonts w:ascii="Times New Roman" w:hAnsi="Times New Roman"/>
          <w:sz w:val="24"/>
        </w:rPr>
        <w:t xml:space="preserve"> grievance of victim organizations was that they had been inadequately </w:t>
      </w:r>
      <w:r w:rsidR="00B1151D">
        <w:rPr>
          <w:rFonts w:ascii="Times New Roman" w:hAnsi="Times New Roman"/>
          <w:sz w:val="24"/>
        </w:rPr>
        <w:t>included</w:t>
      </w:r>
      <w:r w:rsidR="003C689C">
        <w:rPr>
          <w:rFonts w:ascii="Times New Roman" w:hAnsi="Times New Roman"/>
          <w:sz w:val="24"/>
        </w:rPr>
        <w:t xml:space="preserve"> in the process</w:t>
      </w:r>
      <w:r w:rsidR="00B1151D">
        <w:rPr>
          <w:rFonts w:ascii="Times New Roman" w:hAnsi="Times New Roman"/>
          <w:sz w:val="24"/>
        </w:rPr>
        <w:t>.</w:t>
      </w:r>
      <w:r w:rsidR="00754F3C">
        <w:rPr>
          <w:rStyle w:val="FootnoteReference"/>
          <w:rFonts w:ascii="Times New Roman" w:hAnsi="Times New Roman"/>
          <w:sz w:val="24"/>
        </w:rPr>
        <w:footnoteReference w:id="73"/>
      </w:r>
      <w:r w:rsidR="00B1151D">
        <w:rPr>
          <w:rFonts w:ascii="Times New Roman" w:hAnsi="Times New Roman"/>
          <w:sz w:val="24"/>
        </w:rPr>
        <w:t xml:space="preserve"> </w:t>
      </w:r>
      <w:r w:rsidR="00B268D7">
        <w:rPr>
          <w:rFonts w:ascii="Times New Roman" w:hAnsi="Times New Roman"/>
          <w:sz w:val="24"/>
        </w:rPr>
        <w:t xml:space="preserve">When the project originated in Bosnian civil society in the late 1990s, it was spearheaded by </w:t>
      </w:r>
      <w:r w:rsidR="008E42D6">
        <w:rPr>
          <w:rFonts w:ascii="Times New Roman" w:hAnsi="Times New Roman"/>
          <w:sz w:val="24"/>
        </w:rPr>
        <w:t>urban, ‘professionalised’</w:t>
      </w:r>
      <w:r w:rsidR="00B1151D">
        <w:rPr>
          <w:rFonts w:ascii="Times New Roman" w:hAnsi="Times New Roman"/>
          <w:sz w:val="24"/>
        </w:rPr>
        <w:t xml:space="preserve"> and more cosmopolitan NGOs with strong links to international </w:t>
      </w:r>
      <w:r w:rsidR="00B268D7">
        <w:rPr>
          <w:rFonts w:ascii="Times New Roman" w:hAnsi="Times New Roman"/>
          <w:sz w:val="24"/>
        </w:rPr>
        <w:t xml:space="preserve">actors and </w:t>
      </w:r>
      <w:r w:rsidR="00B1151D">
        <w:rPr>
          <w:rFonts w:ascii="Times New Roman" w:hAnsi="Times New Roman"/>
          <w:sz w:val="24"/>
        </w:rPr>
        <w:t>donors</w:t>
      </w:r>
      <w:r w:rsidR="00B268D7">
        <w:rPr>
          <w:rFonts w:ascii="Times New Roman" w:hAnsi="Times New Roman"/>
          <w:sz w:val="24"/>
        </w:rPr>
        <w:t>. This led to</w:t>
      </w:r>
      <w:r w:rsidR="00B1151D">
        <w:rPr>
          <w:rFonts w:ascii="Times New Roman" w:hAnsi="Times New Roman"/>
          <w:sz w:val="24"/>
        </w:rPr>
        <w:t xml:space="preserve"> smaller</w:t>
      </w:r>
      <w:r w:rsidR="008E42D6">
        <w:rPr>
          <w:rFonts w:ascii="Times New Roman" w:hAnsi="Times New Roman"/>
          <w:sz w:val="24"/>
        </w:rPr>
        <w:t>,</w:t>
      </w:r>
      <w:r w:rsidR="00B1151D">
        <w:rPr>
          <w:rFonts w:ascii="Times New Roman" w:hAnsi="Times New Roman"/>
          <w:sz w:val="24"/>
        </w:rPr>
        <w:t xml:space="preserve"> more remote grassroots groups, wh</w:t>
      </w:r>
      <w:r w:rsidR="008E42D6">
        <w:rPr>
          <w:rFonts w:ascii="Times New Roman" w:hAnsi="Times New Roman"/>
          <w:sz w:val="24"/>
        </w:rPr>
        <w:t xml:space="preserve">ich did not </w:t>
      </w:r>
      <w:r w:rsidR="006F484A">
        <w:rPr>
          <w:rFonts w:ascii="Times New Roman" w:hAnsi="Times New Roman"/>
          <w:sz w:val="24"/>
        </w:rPr>
        <w:t>have</w:t>
      </w:r>
      <w:r w:rsidR="008E42D6">
        <w:rPr>
          <w:rFonts w:ascii="Times New Roman" w:hAnsi="Times New Roman"/>
          <w:sz w:val="24"/>
        </w:rPr>
        <w:t xml:space="preserve"> the know-how to attract foreign support</w:t>
      </w:r>
      <w:r w:rsidR="00B268D7">
        <w:rPr>
          <w:rFonts w:ascii="Times New Roman" w:hAnsi="Times New Roman"/>
          <w:sz w:val="24"/>
        </w:rPr>
        <w:t xml:space="preserve">, </w:t>
      </w:r>
      <w:r w:rsidR="006D1B80">
        <w:rPr>
          <w:rFonts w:ascii="Times New Roman" w:hAnsi="Times New Roman"/>
          <w:sz w:val="24"/>
        </w:rPr>
        <w:t xml:space="preserve">to </w:t>
      </w:r>
      <w:r w:rsidR="00B268D7">
        <w:rPr>
          <w:rFonts w:ascii="Times New Roman" w:hAnsi="Times New Roman"/>
          <w:sz w:val="24"/>
        </w:rPr>
        <w:t>view</w:t>
      </w:r>
      <w:r w:rsidR="00B1151D">
        <w:rPr>
          <w:rFonts w:ascii="Times New Roman" w:hAnsi="Times New Roman"/>
          <w:sz w:val="24"/>
        </w:rPr>
        <w:t xml:space="preserve"> the TRC initiative as an elitist</w:t>
      </w:r>
      <w:r w:rsidR="006F484A">
        <w:rPr>
          <w:rFonts w:ascii="Times New Roman" w:hAnsi="Times New Roman"/>
          <w:sz w:val="24"/>
        </w:rPr>
        <w:t>,</w:t>
      </w:r>
      <w:r w:rsidR="008E42D6">
        <w:rPr>
          <w:rFonts w:ascii="Times New Roman" w:hAnsi="Times New Roman"/>
          <w:sz w:val="24"/>
        </w:rPr>
        <w:t xml:space="preserve"> lucrative </w:t>
      </w:r>
      <w:r w:rsidR="00B1151D">
        <w:rPr>
          <w:rFonts w:ascii="Times New Roman" w:hAnsi="Times New Roman"/>
          <w:sz w:val="24"/>
        </w:rPr>
        <w:t>project pushed</w:t>
      </w:r>
      <w:r w:rsidR="00B1151D" w:rsidRPr="0071427C">
        <w:rPr>
          <w:rFonts w:ascii="Times New Roman" w:hAnsi="Times New Roman"/>
          <w:sz w:val="24"/>
        </w:rPr>
        <w:t xml:space="preserve"> by </w:t>
      </w:r>
      <w:r w:rsidR="00B1151D">
        <w:rPr>
          <w:rFonts w:ascii="Times New Roman" w:hAnsi="Times New Roman"/>
          <w:sz w:val="24"/>
        </w:rPr>
        <w:t xml:space="preserve">large </w:t>
      </w:r>
      <w:r w:rsidR="00B1151D" w:rsidRPr="0071427C">
        <w:rPr>
          <w:rFonts w:ascii="Times New Roman" w:hAnsi="Times New Roman"/>
          <w:sz w:val="24"/>
        </w:rPr>
        <w:t>NGOs</w:t>
      </w:r>
      <w:r w:rsidR="008E42D6">
        <w:rPr>
          <w:rFonts w:ascii="Times New Roman" w:hAnsi="Times New Roman"/>
          <w:sz w:val="24"/>
        </w:rPr>
        <w:t xml:space="preserve"> and wealthy individuals</w:t>
      </w:r>
      <w:r w:rsidR="00B1151D">
        <w:rPr>
          <w:rFonts w:ascii="Times New Roman" w:hAnsi="Times New Roman"/>
          <w:sz w:val="24"/>
        </w:rPr>
        <w:t>.</w:t>
      </w:r>
      <w:r w:rsidR="00B1151D">
        <w:rPr>
          <w:rStyle w:val="FootnoteReference"/>
          <w:rFonts w:ascii="Times New Roman" w:hAnsi="Times New Roman"/>
          <w:sz w:val="24"/>
        </w:rPr>
        <w:footnoteReference w:id="74"/>
      </w:r>
      <w:r w:rsidR="00B1151D">
        <w:rPr>
          <w:rFonts w:ascii="Times New Roman" w:hAnsi="Times New Roman"/>
          <w:sz w:val="24"/>
        </w:rPr>
        <w:t xml:space="preserve"> </w:t>
      </w:r>
      <w:r w:rsidR="006D1B80">
        <w:rPr>
          <w:rFonts w:ascii="Times New Roman" w:hAnsi="Times New Roman"/>
          <w:sz w:val="24"/>
        </w:rPr>
        <w:t>These</w:t>
      </w:r>
      <w:r w:rsidR="00B268D7">
        <w:rPr>
          <w:rFonts w:ascii="Times New Roman" w:hAnsi="Times New Roman"/>
          <w:sz w:val="24"/>
        </w:rPr>
        <w:t xml:space="preserve"> misgivings were reflected in the questions raised by </w:t>
      </w:r>
      <w:r w:rsidR="00100C98">
        <w:rPr>
          <w:rFonts w:ascii="Times New Roman" w:hAnsi="Times New Roman"/>
          <w:sz w:val="24"/>
        </w:rPr>
        <w:t>representatives</w:t>
      </w:r>
      <w:r w:rsidR="00B268D7">
        <w:rPr>
          <w:rFonts w:ascii="Times New Roman" w:hAnsi="Times New Roman"/>
          <w:sz w:val="24"/>
        </w:rPr>
        <w:t xml:space="preserve"> of victim associations </w:t>
      </w:r>
      <w:r w:rsidR="00B15269">
        <w:rPr>
          <w:rFonts w:ascii="Times New Roman" w:hAnsi="Times New Roman"/>
          <w:sz w:val="24"/>
        </w:rPr>
        <w:t>about material compensation of</w:t>
      </w:r>
      <w:r w:rsidR="00B1151D">
        <w:rPr>
          <w:rFonts w:ascii="Times New Roman" w:hAnsi="Times New Roman"/>
          <w:sz w:val="24"/>
        </w:rPr>
        <w:t xml:space="preserve"> </w:t>
      </w:r>
      <w:r w:rsidR="006F484A">
        <w:rPr>
          <w:rFonts w:ascii="Times New Roman" w:hAnsi="Times New Roman"/>
          <w:sz w:val="24"/>
        </w:rPr>
        <w:t xml:space="preserve">the </w:t>
      </w:r>
      <w:r w:rsidR="00B15269">
        <w:rPr>
          <w:rFonts w:ascii="Times New Roman" w:hAnsi="Times New Roman"/>
          <w:sz w:val="24"/>
        </w:rPr>
        <w:t>commissioners</w:t>
      </w:r>
      <w:r w:rsidR="006D1B80">
        <w:rPr>
          <w:rFonts w:ascii="Times New Roman" w:hAnsi="Times New Roman"/>
          <w:sz w:val="24"/>
        </w:rPr>
        <w:t xml:space="preserve"> and </w:t>
      </w:r>
      <w:r w:rsidR="00B15269">
        <w:rPr>
          <w:rFonts w:ascii="Times New Roman" w:hAnsi="Times New Roman"/>
          <w:sz w:val="24"/>
        </w:rPr>
        <w:t xml:space="preserve">in </w:t>
      </w:r>
      <w:r w:rsidR="00516D52">
        <w:rPr>
          <w:rFonts w:ascii="Times New Roman" w:hAnsi="Times New Roman"/>
          <w:sz w:val="24"/>
        </w:rPr>
        <w:t>their</w:t>
      </w:r>
      <w:r w:rsidR="006D1B80">
        <w:rPr>
          <w:rFonts w:ascii="Times New Roman" w:hAnsi="Times New Roman"/>
          <w:sz w:val="24"/>
        </w:rPr>
        <w:t xml:space="preserve"> outrage</w:t>
      </w:r>
      <w:r w:rsidR="00516D52">
        <w:rPr>
          <w:rFonts w:ascii="Times New Roman" w:hAnsi="Times New Roman"/>
          <w:sz w:val="24"/>
        </w:rPr>
        <w:t>d</w:t>
      </w:r>
      <w:r w:rsidR="006D1B80">
        <w:rPr>
          <w:rFonts w:ascii="Times New Roman" w:hAnsi="Times New Roman"/>
          <w:sz w:val="24"/>
        </w:rPr>
        <w:t xml:space="preserve"> </w:t>
      </w:r>
      <w:r w:rsidR="00516D52">
        <w:rPr>
          <w:rFonts w:ascii="Times New Roman" w:hAnsi="Times New Roman"/>
          <w:sz w:val="24"/>
        </w:rPr>
        <w:t>reaction</w:t>
      </w:r>
      <w:r w:rsidR="006D1B80">
        <w:rPr>
          <w:rFonts w:ascii="Times New Roman" w:hAnsi="Times New Roman"/>
          <w:sz w:val="24"/>
        </w:rPr>
        <w:t xml:space="preserve"> w</w:t>
      </w:r>
      <w:r w:rsidR="00B268D7">
        <w:rPr>
          <w:rFonts w:ascii="Times New Roman" w:hAnsi="Times New Roman"/>
          <w:sz w:val="24"/>
        </w:rPr>
        <w:t>h</w:t>
      </w:r>
      <w:r w:rsidR="00B1151D">
        <w:rPr>
          <w:rFonts w:ascii="Times New Roman" w:hAnsi="Times New Roman"/>
          <w:sz w:val="24"/>
        </w:rPr>
        <w:t xml:space="preserve">en </w:t>
      </w:r>
      <w:r w:rsidR="00100C98">
        <w:rPr>
          <w:rFonts w:ascii="Times New Roman" w:hAnsi="Times New Roman"/>
          <w:sz w:val="24"/>
        </w:rPr>
        <w:t>told</w:t>
      </w:r>
      <w:r w:rsidR="00B1151D">
        <w:rPr>
          <w:rFonts w:ascii="Times New Roman" w:hAnsi="Times New Roman"/>
          <w:sz w:val="24"/>
        </w:rPr>
        <w:t xml:space="preserve"> that </w:t>
      </w:r>
      <w:r w:rsidR="00B15269">
        <w:rPr>
          <w:rFonts w:ascii="Times New Roman" w:hAnsi="Times New Roman"/>
          <w:sz w:val="24"/>
        </w:rPr>
        <w:t>salaries</w:t>
      </w:r>
      <w:r w:rsidR="00B1151D">
        <w:rPr>
          <w:rFonts w:ascii="Times New Roman" w:hAnsi="Times New Roman"/>
          <w:sz w:val="24"/>
        </w:rPr>
        <w:t xml:space="preserve"> were likely to be equivalen</w:t>
      </w:r>
      <w:r w:rsidR="00100C98">
        <w:rPr>
          <w:rFonts w:ascii="Times New Roman" w:hAnsi="Times New Roman"/>
          <w:sz w:val="24"/>
        </w:rPr>
        <w:t>t to those of High Court judges</w:t>
      </w:r>
      <w:r w:rsidR="00B1151D">
        <w:rPr>
          <w:rFonts w:ascii="Times New Roman" w:hAnsi="Times New Roman"/>
          <w:sz w:val="24"/>
        </w:rPr>
        <w:t>.</w:t>
      </w:r>
      <w:r w:rsidR="00B1151D">
        <w:rPr>
          <w:rStyle w:val="FootnoteReference"/>
          <w:rFonts w:ascii="Times New Roman" w:hAnsi="Times New Roman"/>
          <w:sz w:val="24"/>
        </w:rPr>
        <w:footnoteReference w:id="75"/>
      </w:r>
      <w:r w:rsidR="008E42D6">
        <w:rPr>
          <w:rFonts w:ascii="Times New Roman" w:hAnsi="Times New Roman"/>
          <w:sz w:val="24"/>
        </w:rPr>
        <w:t xml:space="preserve"> Th</w:t>
      </w:r>
      <w:r w:rsidR="00C70F20">
        <w:rPr>
          <w:rFonts w:ascii="Times New Roman" w:hAnsi="Times New Roman"/>
          <w:sz w:val="24"/>
        </w:rPr>
        <w:t>e</w:t>
      </w:r>
      <w:r w:rsidR="008E42D6">
        <w:rPr>
          <w:rFonts w:ascii="Times New Roman" w:hAnsi="Times New Roman"/>
          <w:sz w:val="24"/>
        </w:rPr>
        <w:t xml:space="preserve"> sense of </w:t>
      </w:r>
      <w:r w:rsidR="00C70F20">
        <w:rPr>
          <w:rFonts w:ascii="Times New Roman" w:hAnsi="Times New Roman"/>
          <w:sz w:val="24"/>
        </w:rPr>
        <w:t>exclusion</w:t>
      </w:r>
      <w:r w:rsidR="008E42D6">
        <w:rPr>
          <w:rFonts w:ascii="Times New Roman" w:hAnsi="Times New Roman"/>
          <w:sz w:val="24"/>
        </w:rPr>
        <w:t xml:space="preserve"> became</w:t>
      </w:r>
      <w:r w:rsidR="003C689C">
        <w:rPr>
          <w:rFonts w:ascii="Times New Roman" w:hAnsi="Times New Roman"/>
          <w:sz w:val="24"/>
        </w:rPr>
        <w:t xml:space="preserve"> particularly </w:t>
      </w:r>
      <w:r w:rsidR="008E42D6">
        <w:rPr>
          <w:rFonts w:ascii="Times New Roman" w:hAnsi="Times New Roman"/>
          <w:sz w:val="24"/>
        </w:rPr>
        <w:t xml:space="preserve">acute </w:t>
      </w:r>
      <w:r w:rsidR="003C689C">
        <w:rPr>
          <w:rFonts w:ascii="Times New Roman" w:hAnsi="Times New Roman"/>
          <w:sz w:val="24"/>
        </w:rPr>
        <w:t>in the second—parliamentary</w:t>
      </w:r>
      <w:r w:rsidR="00B15269">
        <w:rPr>
          <w:rFonts w:ascii="Times New Roman" w:hAnsi="Times New Roman"/>
          <w:sz w:val="24"/>
        </w:rPr>
        <w:t>—phase</w:t>
      </w:r>
      <w:r w:rsidR="00D37CD9">
        <w:rPr>
          <w:rFonts w:ascii="Times New Roman" w:hAnsi="Times New Roman"/>
          <w:sz w:val="24"/>
        </w:rPr>
        <w:t xml:space="preserve"> of the initiative</w:t>
      </w:r>
      <w:r w:rsidR="00AE4CF4">
        <w:rPr>
          <w:rFonts w:ascii="Times New Roman" w:hAnsi="Times New Roman"/>
          <w:sz w:val="24"/>
        </w:rPr>
        <w:t>,</w:t>
      </w:r>
      <w:r w:rsidR="00D37CD9">
        <w:rPr>
          <w:rFonts w:ascii="Times New Roman" w:hAnsi="Times New Roman"/>
          <w:sz w:val="24"/>
        </w:rPr>
        <w:t xml:space="preserve"> </w:t>
      </w:r>
      <w:r w:rsidR="00C70F20">
        <w:rPr>
          <w:rFonts w:ascii="Times New Roman" w:hAnsi="Times New Roman"/>
          <w:sz w:val="24"/>
        </w:rPr>
        <w:t>when</w:t>
      </w:r>
      <w:r w:rsidR="00EB0999">
        <w:rPr>
          <w:rFonts w:ascii="Times New Roman" w:hAnsi="Times New Roman"/>
          <w:sz w:val="24"/>
        </w:rPr>
        <w:t xml:space="preserve"> </w:t>
      </w:r>
      <w:r w:rsidR="00C70F20">
        <w:rPr>
          <w:rFonts w:ascii="Times New Roman" w:hAnsi="Times New Roman"/>
          <w:sz w:val="24"/>
        </w:rPr>
        <w:t>the working group’s deliberations</w:t>
      </w:r>
      <w:r w:rsidR="00EB0999">
        <w:rPr>
          <w:rFonts w:ascii="Times New Roman" w:hAnsi="Times New Roman"/>
          <w:sz w:val="24"/>
        </w:rPr>
        <w:t xml:space="preserve"> </w:t>
      </w:r>
      <w:r w:rsidR="00C70F20">
        <w:rPr>
          <w:rFonts w:ascii="Times New Roman" w:hAnsi="Times New Roman"/>
          <w:sz w:val="24"/>
        </w:rPr>
        <w:t xml:space="preserve">were </w:t>
      </w:r>
      <w:r w:rsidR="00516D52">
        <w:rPr>
          <w:rFonts w:ascii="Times New Roman" w:hAnsi="Times New Roman"/>
          <w:sz w:val="24"/>
        </w:rPr>
        <w:t>not made public</w:t>
      </w:r>
      <w:r w:rsidR="00C70F20">
        <w:rPr>
          <w:rFonts w:ascii="Times New Roman" w:hAnsi="Times New Roman"/>
          <w:sz w:val="24"/>
        </w:rPr>
        <w:t xml:space="preserve"> until they were leaked</w:t>
      </w:r>
      <w:r w:rsidR="003C689C">
        <w:rPr>
          <w:rFonts w:ascii="Times New Roman" w:hAnsi="Times New Roman"/>
          <w:sz w:val="24"/>
        </w:rPr>
        <w:t xml:space="preserve"> to </w:t>
      </w:r>
      <w:r w:rsidR="006F484A">
        <w:rPr>
          <w:rFonts w:ascii="Times New Roman" w:hAnsi="Times New Roman"/>
          <w:sz w:val="24"/>
        </w:rPr>
        <w:t>journalists</w:t>
      </w:r>
      <w:r w:rsidR="005B2AB5">
        <w:rPr>
          <w:rFonts w:ascii="Times New Roman" w:hAnsi="Times New Roman"/>
          <w:sz w:val="24"/>
        </w:rPr>
        <w:t xml:space="preserve">. </w:t>
      </w:r>
      <w:r w:rsidR="00EB0999">
        <w:rPr>
          <w:rFonts w:ascii="Times New Roman" w:hAnsi="Times New Roman"/>
          <w:sz w:val="24"/>
        </w:rPr>
        <w:t>T</w:t>
      </w:r>
      <w:r w:rsidR="003C689C" w:rsidRPr="008D7316">
        <w:rPr>
          <w:rFonts w:ascii="Times New Roman" w:hAnsi="Times New Roman"/>
          <w:sz w:val="24"/>
        </w:rPr>
        <w:t xml:space="preserve">he initiative </w:t>
      </w:r>
      <w:r w:rsidR="00C70F20">
        <w:rPr>
          <w:rFonts w:ascii="Times New Roman" w:hAnsi="Times New Roman"/>
          <w:sz w:val="24"/>
        </w:rPr>
        <w:t>encountered strong criticism</w:t>
      </w:r>
      <w:r w:rsidR="003C689C" w:rsidRPr="008D7316">
        <w:rPr>
          <w:rFonts w:ascii="Times New Roman" w:hAnsi="Times New Roman"/>
          <w:sz w:val="24"/>
        </w:rPr>
        <w:t xml:space="preserve"> despite </w:t>
      </w:r>
      <w:r w:rsidR="003C689C">
        <w:rPr>
          <w:rFonts w:ascii="Times New Roman" w:hAnsi="Times New Roman"/>
          <w:sz w:val="24"/>
        </w:rPr>
        <w:t xml:space="preserve">the </w:t>
      </w:r>
      <w:r w:rsidR="00EB0999">
        <w:rPr>
          <w:rFonts w:ascii="Times New Roman" w:hAnsi="Times New Roman"/>
          <w:sz w:val="24"/>
        </w:rPr>
        <w:t>assurances</w:t>
      </w:r>
      <w:r w:rsidR="00AE4CF4">
        <w:rPr>
          <w:rFonts w:ascii="Times New Roman" w:hAnsi="Times New Roman"/>
          <w:sz w:val="24"/>
        </w:rPr>
        <w:t xml:space="preserve"> of some party representatives</w:t>
      </w:r>
      <w:r w:rsidR="003C689C">
        <w:rPr>
          <w:rFonts w:ascii="Times New Roman" w:hAnsi="Times New Roman"/>
          <w:sz w:val="24"/>
        </w:rPr>
        <w:t xml:space="preserve"> that </w:t>
      </w:r>
      <w:r w:rsidR="0066786D">
        <w:rPr>
          <w:rFonts w:ascii="Times New Roman" w:hAnsi="Times New Roman"/>
          <w:sz w:val="24"/>
        </w:rPr>
        <w:t xml:space="preserve">widespread </w:t>
      </w:r>
      <w:r w:rsidR="003C689C">
        <w:rPr>
          <w:rFonts w:ascii="Times New Roman" w:hAnsi="Times New Roman"/>
          <w:sz w:val="24"/>
        </w:rPr>
        <w:t xml:space="preserve">public consultations would </w:t>
      </w:r>
      <w:r w:rsidR="00EB0999">
        <w:rPr>
          <w:rFonts w:ascii="Times New Roman" w:hAnsi="Times New Roman"/>
          <w:sz w:val="24"/>
        </w:rPr>
        <w:t>follow the agreement of the</w:t>
      </w:r>
      <w:r w:rsidR="003C689C">
        <w:rPr>
          <w:rFonts w:ascii="Times New Roman" w:hAnsi="Times New Roman"/>
          <w:sz w:val="24"/>
        </w:rPr>
        <w:t xml:space="preserve"> draft statute </w:t>
      </w:r>
      <w:r w:rsidR="008D7316">
        <w:rPr>
          <w:rFonts w:ascii="Times New Roman" w:hAnsi="Times New Roman"/>
          <w:sz w:val="24"/>
        </w:rPr>
        <w:t>at</w:t>
      </w:r>
      <w:r w:rsidR="00AE4ADF">
        <w:rPr>
          <w:rFonts w:ascii="Times New Roman" w:hAnsi="Times New Roman"/>
          <w:sz w:val="24"/>
        </w:rPr>
        <w:t xml:space="preserve"> the political level</w:t>
      </w:r>
      <w:r w:rsidR="003C689C">
        <w:rPr>
          <w:rFonts w:ascii="Times New Roman" w:hAnsi="Times New Roman"/>
          <w:sz w:val="24"/>
        </w:rPr>
        <w:t>.</w:t>
      </w:r>
      <w:r w:rsidR="003C689C">
        <w:rPr>
          <w:rStyle w:val="FootnoteReference"/>
          <w:rFonts w:ascii="Times New Roman" w:hAnsi="Times New Roman"/>
          <w:sz w:val="24"/>
        </w:rPr>
        <w:footnoteReference w:id="76"/>
      </w:r>
      <w:r w:rsidR="003C689C">
        <w:rPr>
          <w:rFonts w:ascii="Times New Roman" w:hAnsi="Times New Roman"/>
          <w:sz w:val="24"/>
        </w:rPr>
        <w:t xml:space="preserve"> </w:t>
      </w:r>
      <w:r w:rsidR="00474EB2">
        <w:rPr>
          <w:rFonts w:ascii="Times New Roman" w:hAnsi="Times New Roman"/>
          <w:sz w:val="24"/>
        </w:rPr>
        <w:t xml:space="preserve">These problems were compounded by errors of judgment by insufficiently informed foreign sponsors, such as the initial inclusion in the parliamentary working group of an alleged war criminal nominated by his political party. Although this individual was subsequently removed, </w:t>
      </w:r>
      <w:r w:rsidR="0096328D">
        <w:rPr>
          <w:rFonts w:ascii="Times New Roman" w:hAnsi="Times New Roman"/>
          <w:sz w:val="24"/>
        </w:rPr>
        <w:t>th</w:t>
      </w:r>
      <w:r w:rsidR="0068651B">
        <w:rPr>
          <w:rFonts w:ascii="Times New Roman" w:hAnsi="Times New Roman"/>
          <w:sz w:val="24"/>
        </w:rPr>
        <w:t>e</w:t>
      </w:r>
      <w:r w:rsidR="0096328D">
        <w:rPr>
          <w:rFonts w:ascii="Times New Roman" w:hAnsi="Times New Roman"/>
          <w:sz w:val="24"/>
        </w:rPr>
        <w:t xml:space="preserve"> incident</w:t>
      </w:r>
      <w:r w:rsidR="00C70F20">
        <w:rPr>
          <w:rFonts w:ascii="Times New Roman" w:hAnsi="Times New Roman"/>
          <w:sz w:val="24"/>
        </w:rPr>
        <w:t xml:space="preserve"> caused irreversible </w:t>
      </w:r>
      <w:r w:rsidR="00AE4CF4">
        <w:rPr>
          <w:rFonts w:ascii="Times New Roman" w:hAnsi="Times New Roman"/>
          <w:sz w:val="24"/>
        </w:rPr>
        <w:t>damage to the project</w:t>
      </w:r>
      <w:r w:rsidR="00474EB2">
        <w:rPr>
          <w:rFonts w:ascii="Times New Roman" w:hAnsi="Times New Roman"/>
          <w:sz w:val="24"/>
        </w:rPr>
        <w:t>.</w:t>
      </w:r>
      <w:r w:rsidR="00474EB2">
        <w:rPr>
          <w:rStyle w:val="FootnoteReference"/>
          <w:rFonts w:ascii="Times New Roman" w:hAnsi="Times New Roman"/>
          <w:sz w:val="24"/>
        </w:rPr>
        <w:footnoteReference w:id="77"/>
      </w:r>
    </w:p>
    <w:p w:rsidR="007A1C73" w:rsidRDefault="00447D15" w:rsidP="00447D15">
      <w:pPr>
        <w:spacing w:after="0" w:line="360" w:lineRule="auto"/>
        <w:ind w:firstLine="720"/>
        <w:rPr>
          <w:rFonts w:ascii="Times New Roman" w:hAnsi="Times New Roman"/>
          <w:sz w:val="24"/>
        </w:rPr>
      </w:pPr>
      <w:r>
        <w:rPr>
          <w:rFonts w:ascii="Times New Roman" w:hAnsi="Times New Roman"/>
          <w:sz w:val="24"/>
        </w:rPr>
        <w:t>In addition, v</w:t>
      </w:r>
      <w:r w:rsidR="00CD1A03">
        <w:rPr>
          <w:rFonts w:ascii="Times New Roman" w:hAnsi="Times New Roman"/>
          <w:sz w:val="24"/>
        </w:rPr>
        <w:t>ictim</w:t>
      </w:r>
      <w:r w:rsidR="00600C4F">
        <w:rPr>
          <w:rFonts w:ascii="Times New Roman" w:hAnsi="Times New Roman"/>
          <w:sz w:val="24"/>
        </w:rPr>
        <w:t xml:space="preserve"> associations demonstrated con</w:t>
      </w:r>
      <w:r w:rsidR="002A62F0">
        <w:rPr>
          <w:rFonts w:ascii="Times New Roman" w:hAnsi="Times New Roman"/>
          <w:sz w:val="24"/>
        </w:rPr>
        <w:t>siderable s</w:t>
      </w:r>
      <w:r w:rsidR="00DA6F85">
        <w:rPr>
          <w:rFonts w:ascii="Times New Roman" w:hAnsi="Times New Roman"/>
          <w:sz w:val="24"/>
        </w:rPr>
        <w:t>k</w:t>
      </w:r>
      <w:r w:rsidR="002A62F0">
        <w:rPr>
          <w:rFonts w:ascii="Times New Roman" w:hAnsi="Times New Roman"/>
          <w:sz w:val="24"/>
        </w:rPr>
        <w:t xml:space="preserve">epticism towards both </w:t>
      </w:r>
      <w:r w:rsidR="009B0082">
        <w:rPr>
          <w:rFonts w:ascii="Times New Roman" w:hAnsi="Times New Roman"/>
          <w:sz w:val="24"/>
        </w:rPr>
        <w:t>the ‘truth’ and ‘reconciliation’ aspects of</w:t>
      </w:r>
      <w:r w:rsidR="002A62F0">
        <w:rPr>
          <w:rFonts w:ascii="Times New Roman" w:hAnsi="Times New Roman"/>
          <w:sz w:val="24"/>
        </w:rPr>
        <w:t xml:space="preserve"> the</w:t>
      </w:r>
      <w:r w:rsidR="001B2A3D">
        <w:rPr>
          <w:rFonts w:ascii="Times New Roman" w:hAnsi="Times New Roman"/>
          <w:sz w:val="24"/>
        </w:rPr>
        <w:t>se</w:t>
      </w:r>
      <w:r w:rsidR="002A62F0">
        <w:rPr>
          <w:rFonts w:ascii="Times New Roman" w:hAnsi="Times New Roman"/>
          <w:sz w:val="24"/>
        </w:rPr>
        <w:t xml:space="preserve"> TRC initiatives</w:t>
      </w:r>
      <w:r w:rsidR="00600C4F">
        <w:rPr>
          <w:rFonts w:ascii="Times New Roman" w:hAnsi="Times New Roman"/>
          <w:sz w:val="24"/>
        </w:rPr>
        <w:t xml:space="preserve">. </w:t>
      </w:r>
      <w:r w:rsidR="00C70F20">
        <w:rPr>
          <w:rFonts w:ascii="Times New Roman" w:hAnsi="Times New Roman"/>
          <w:sz w:val="24"/>
        </w:rPr>
        <w:t>Th</w:t>
      </w:r>
      <w:r w:rsidR="002D58A7">
        <w:rPr>
          <w:rFonts w:ascii="Times New Roman" w:hAnsi="Times New Roman"/>
          <w:sz w:val="24"/>
        </w:rPr>
        <w:t>e</w:t>
      </w:r>
      <w:r>
        <w:rPr>
          <w:rFonts w:ascii="Times New Roman" w:hAnsi="Times New Roman"/>
          <w:sz w:val="24"/>
        </w:rPr>
        <w:t>ir</w:t>
      </w:r>
      <w:r w:rsidR="002D58A7">
        <w:rPr>
          <w:rFonts w:ascii="Times New Roman" w:hAnsi="Times New Roman"/>
          <w:sz w:val="24"/>
        </w:rPr>
        <w:t xml:space="preserve"> statements </w:t>
      </w:r>
      <w:r w:rsidR="004A0250">
        <w:rPr>
          <w:rFonts w:ascii="Times New Roman" w:hAnsi="Times New Roman"/>
          <w:sz w:val="24"/>
        </w:rPr>
        <w:t xml:space="preserve">at the time </w:t>
      </w:r>
      <w:r w:rsidR="00C70F20">
        <w:rPr>
          <w:rFonts w:ascii="Times New Roman" w:hAnsi="Times New Roman"/>
          <w:sz w:val="24"/>
        </w:rPr>
        <w:t>showed</w:t>
      </w:r>
      <w:r w:rsidR="006F484A">
        <w:rPr>
          <w:rFonts w:ascii="Times New Roman" w:hAnsi="Times New Roman"/>
          <w:sz w:val="24"/>
        </w:rPr>
        <w:t xml:space="preserve"> that</w:t>
      </w:r>
      <w:r w:rsidR="002D58A7">
        <w:rPr>
          <w:rFonts w:ascii="Times New Roman" w:hAnsi="Times New Roman"/>
          <w:sz w:val="24"/>
        </w:rPr>
        <w:t xml:space="preserve"> </w:t>
      </w:r>
      <w:r w:rsidR="00CD1A03">
        <w:rPr>
          <w:rFonts w:ascii="Times New Roman" w:hAnsi="Times New Roman"/>
          <w:sz w:val="24"/>
        </w:rPr>
        <w:t xml:space="preserve">they </w:t>
      </w:r>
      <w:r w:rsidR="006F484A">
        <w:rPr>
          <w:rFonts w:ascii="Times New Roman" w:hAnsi="Times New Roman"/>
          <w:sz w:val="24"/>
        </w:rPr>
        <w:t>were afraid of anything resembling</w:t>
      </w:r>
      <w:r w:rsidR="002D58A7">
        <w:rPr>
          <w:rFonts w:ascii="Times New Roman" w:hAnsi="Times New Roman"/>
          <w:sz w:val="24"/>
        </w:rPr>
        <w:t xml:space="preserve"> a ‘compromise truth’—in other words, any narrative that sought to create </w:t>
      </w:r>
      <w:r w:rsidR="000B7159">
        <w:rPr>
          <w:rFonts w:ascii="Times New Roman" w:hAnsi="Times New Roman"/>
          <w:sz w:val="24"/>
        </w:rPr>
        <w:t>a</w:t>
      </w:r>
      <w:r w:rsidR="002D58A7">
        <w:rPr>
          <w:rFonts w:ascii="Times New Roman" w:hAnsi="Times New Roman"/>
          <w:sz w:val="24"/>
        </w:rPr>
        <w:t xml:space="preserve"> symmetry between their suffering and the suffering of others.</w:t>
      </w:r>
      <w:r w:rsidR="005B2AB5">
        <w:rPr>
          <w:rStyle w:val="FootnoteReference"/>
          <w:rFonts w:ascii="Times New Roman" w:hAnsi="Times New Roman"/>
          <w:sz w:val="24"/>
        </w:rPr>
        <w:footnoteReference w:id="78"/>
      </w:r>
      <w:r w:rsidR="0088616A">
        <w:rPr>
          <w:rFonts w:ascii="Times New Roman" w:hAnsi="Times New Roman"/>
          <w:sz w:val="24"/>
        </w:rPr>
        <w:t xml:space="preserve"> </w:t>
      </w:r>
      <w:r w:rsidR="006F484A">
        <w:rPr>
          <w:rFonts w:ascii="Times New Roman" w:hAnsi="Times New Roman"/>
          <w:sz w:val="24"/>
        </w:rPr>
        <w:t xml:space="preserve">For Bosniaks, this was a particularly acute problem because their very identity as a </w:t>
      </w:r>
      <w:r w:rsidR="006F484A">
        <w:rPr>
          <w:rFonts w:ascii="Times New Roman" w:hAnsi="Times New Roman"/>
          <w:sz w:val="24"/>
        </w:rPr>
        <w:lastRenderedPageBreak/>
        <w:t xml:space="preserve">national group was tied up with the experience of having </w:t>
      </w:r>
      <w:r w:rsidR="00E6268C">
        <w:rPr>
          <w:rFonts w:ascii="Times New Roman" w:hAnsi="Times New Roman"/>
          <w:sz w:val="24"/>
        </w:rPr>
        <w:t>had</w:t>
      </w:r>
      <w:r w:rsidR="006F484A">
        <w:rPr>
          <w:rFonts w:ascii="Times New Roman" w:hAnsi="Times New Roman"/>
          <w:sz w:val="24"/>
        </w:rPr>
        <w:t xml:space="preserve"> </w:t>
      </w:r>
      <w:r w:rsidR="00100C98">
        <w:rPr>
          <w:rFonts w:ascii="Times New Roman" w:hAnsi="Times New Roman"/>
          <w:sz w:val="24"/>
        </w:rPr>
        <w:t xml:space="preserve">by far </w:t>
      </w:r>
      <w:r w:rsidR="006F484A">
        <w:rPr>
          <w:rFonts w:ascii="Times New Roman" w:hAnsi="Times New Roman"/>
          <w:sz w:val="24"/>
        </w:rPr>
        <w:t xml:space="preserve">the greatest </w:t>
      </w:r>
      <w:r w:rsidR="00E6268C">
        <w:rPr>
          <w:rFonts w:ascii="Times New Roman" w:hAnsi="Times New Roman"/>
          <w:sz w:val="24"/>
        </w:rPr>
        <w:t>number of civilian casualties in</w:t>
      </w:r>
      <w:r w:rsidR="006F484A">
        <w:rPr>
          <w:rFonts w:ascii="Times New Roman" w:hAnsi="Times New Roman"/>
          <w:sz w:val="24"/>
        </w:rPr>
        <w:t xml:space="preserve"> the conflict</w:t>
      </w:r>
      <w:r w:rsidR="00C719AB">
        <w:rPr>
          <w:rStyle w:val="FootnoteReference"/>
          <w:rFonts w:ascii="Times New Roman" w:hAnsi="Times New Roman"/>
          <w:sz w:val="24"/>
        </w:rPr>
        <w:footnoteReference w:id="79"/>
      </w:r>
      <w:r w:rsidR="006F484A">
        <w:rPr>
          <w:rFonts w:ascii="Times New Roman" w:hAnsi="Times New Roman"/>
          <w:sz w:val="24"/>
        </w:rPr>
        <w:t xml:space="preserve">—a </w:t>
      </w:r>
      <w:r w:rsidR="0077077C">
        <w:rPr>
          <w:rFonts w:ascii="Times New Roman" w:hAnsi="Times New Roman"/>
          <w:sz w:val="24"/>
        </w:rPr>
        <w:t>conflict</w:t>
      </w:r>
      <w:r w:rsidR="006F484A">
        <w:rPr>
          <w:rFonts w:ascii="Times New Roman" w:hAnsi="Times New Roman"/>
          <w:sz w:val="24"/>
        </w:rPr>
        <w:t xml:space="preserve"> they view</w:t>
      </w:r>
      <w:r w:rsidR="009945F7">
        <w:rPr>
          <w:rFonts w:ascii="Times New Roman" w:hAnsi="Times New Roman"/>
          <w:sz w:val="24"/>
        </w:rPr>
        <w:t>ed</w:t>
      </w:r>
      <w:r w:rsidR="006F484A">
        <w:rPr>
          <w:rFonts w:ascii="Times New Roman" w:hAnsi="Times New Roman"/>
          <w:sz w:val="24"/>
        </w:rPr>
        <w:t xml:space="preserve"> as an aggressi</w:t>
      </w:r>
      <w:r w:rsidR="0077077C">
        <w:rPr>
          <w:rFonts w:ascii="Times New Roman" w:hAnsi="Times New Roman"/>
          <w:sz w:val="24"/>
        </w:rPr>
        <w:t>ve war</w:t>
      </w:r>
      <w:r w:rsidR="006F484A">
        <w:rPr>
          <w:rFonts w:ascii="Times New Roman" w:hAnsi="Times New Roman"/>
          <w:sz w:val="24"/>
        </w:rPr>
        <w:t xml:space="preserve"> </w:t>
      </w:r>
      <w:r w:rsidR="0077077C">
        <w:rPr>
          <w:rFonts w:ascii="Times New Roman" w:hAnsi="Times New Roman"/>
          <w:sz w:val="24"/>
        </w:rPr>
        <w:t xml:space="preserve">masterminded by Serbia, in which </w:t>
      </w:r>
      <w:r w:rsidR="00CD1A03">
        <w:rPr>
          <w:rFonts w:ascii="Times New Roman" w:hAnsi="Times New Roman"/>
          <w:sz w:val="24"/>
        </w:rPr>
        <w:t xml:space="preserve">they were victims of </w:t>
      </w:r>
      <w:r w:rsidR="0077077C">
        <w:rPr>
          <w:rFonts w:ascii="Times New Roman" w:hAnsi="Times New Roman"/>
          <w:sz w:val="24"/>
        </w:rPr>
        <w:t>genocide</w:t>
      </w:r>
      <w:r w:rsidR="006F484A">
        <w:rPr>
          <w:rFonts w:ascii="Times New Roman" w:hAnsi="Times New Roman"/>
          <w:sz w:val="24"/>
        </w:rPr>
        <w:t>.</w:t>
      </w:r>
      <w:r w:rsidR="00C719AB">
        <w:rPr>
          <w:rStyle w:val="FootnoteReference"/>
          <w:rFonts w:ascii="Times New Roman" w:hAnsi="Times New Roman"/>
          <w:sz w:val="24"/>
        </w:rPr>
        <w:footnoteReference w:id="80"/>
      </w:r>
      <w:r w:rsidR="006F484A">
        <w:rPr>
          <w:rFonts w:ascii="Times New Roman" w:hAnsi="Times New Roman"/>
          <w:sz w:val="24"/>
        </w:rPr>
        <w:t xml:space="preserve"> </w:t>
      </w:r>
      <w:r w:rsidR="00C70F20">
        <w:rPr>
          <w:rFonts w:ascii="Times New Roman" w:hAnsi="Times New Roman"/>
          <w:sz w:val="24"/>
        </w:rPr>
        <w:t>Many</w:t>
      </w:r>
      <w:r w:rsidR="00CD1A03">
        <w:rPr>
          <w:rFonts w:ascii="Times New Roman" w:hAnsi="Times New Roman"/>
          <w:sz w:val="24"/>
        </w:rPr>
        <w:t xml:space="preserve"> feared that a national truth commission would negate that uniqueness in its efforts to foster inter-ethnic reconciliation. </w:t>
      </w:r>
      <w:r w:rsidR="0088616A">
        <w:rPr>
          <w:rFonts w:ascii="Times New Roman" w:hAnsi="Times New Roman"/>
          <w:sz w:val="24"/>
        </w:rPr>
        <w:t>As Kada Hoti</w:t>
      </w:r>
      <w:r w:rsidR="0088616A">
        <w:rPr>
          <w:rFonts w:ascii="Times New Roman" w:hAnsi="Times New Roman" w:cs="Times New Roman"/>
          <w:sz w:val="24"/>
        </w:rPr>
        <w:t>ć</w:t>
      </w:r>
      <w:r w:rsidR="0088616A">
        <w:rPr>
          <w:rFonts w:ascii="Times New Roman" w:hAnsi="Times New Roman"/>
          <w:sz w:val="24"/>
        </w:rPr>
        <w:t xml:space="preserve"> of the </w:t>
      </w:r>
      <w:r w:rsidR="002A7CCC">
        <w:rPr>
          <w:rFonts w:ascii="Times New Roman" w:hAnsi="Times New Roman"/>
          <w:sz w:val="24"/>
        </w:rPr>
        <w:t xml:space="preserve">Association of </w:t>
      </w:r>
      <w:r w:rsidR="0088616A">
        <w:rPr>
          <w:rFonts w:ascii="Times New Roman" w:hAnsi="Times New Roman"/>
          <w:sz w:val="24"/>
        </w:rPr>
        <w:t xml:space="preserve">Mothers of Srebrenica </w:t>
      </w:r>
      <w:r w:rsidR="002A7CCC">
        <w:rPr>
          <w:rFonts w:ascii="Times New Roman" w:hAnsi="Times New Roman"/>
          <w:sz w:val="24"/>
        </w:rPr>
        <w:t xml:space="preserve">and </w:t>
      </w:r>
      <w:r w:rsidR="002A7CCC">
        <w:rPr>
          <w:rFonts w:ascii="Times New Roman" w:hAnsi="Times New Roman" w:cs="Times New Roman"/>
          <w:sz w:val="24"/>
        </w:rPr>
        <w:t>Ž</w:t>
      </w:r>
      <w:r w:rsidR="002A7CCC">
        <w:rPr>
          <w:rFonts w:ascii="Times New Roman" w:hAnsi="Times New Roman"/>
          <w:sz w:val="24"/>
        </w:rPr>
        <w:t>epa</w:t>
      </w:r>
      <w:r w:rsidR="00C70F20">
        <w:rPr>
          <w:rFonts w:ascii="Times New Roman" w:hAnsi="Times New Roman"/>
          <w:sz w:val="24"/>
        </w:rPr>
        <w:t xml:space="preserve"> explained</w:t>
      </w:r>
      <w:r w:rsidR="0088616A">
        <w:rPr>
          <w:rFonts w:ascii="Times New Roman" w:hAnsi="Times New Roman"/>
          <w:sz w:val="24"/>
        </w:rPr>
        <w:t xml:space="preserve">: </w:t>
      </w:r>
      <w:r>
        <w:rPr>
          <w:rFonts w:ascii="Times New Roman" w:hAnsi="Times New Roman"/>
          <w:sz w:val="24"/>
        </w:rPr>
        <w:t>‘</w:t>
      </w:r>
      <w:r w:rsidR="0088616A">
        <w:rPr>
          <w:rFonts w:ascii="Times New Roman" w:hAnsi="Times New Roman"/>
          <w:sz w:val="24"/>
        </w:rPr>
        <w:t xml:space="preserve">What is really the truth </w:t>
      </w:r>
      <w:r w:rsidR="00D84DCA">
        <w:rPr>
          <w:rFonts w:ascii="Times New Roman" w:hAnsi="Times New Roman"/>
          <w:sz w:val="24"/>
        </w:rPr>
        <w:t>and what do we really want here;</w:t>
      </w:r>
      <w:r w:rsidR="0088616A">
        <w:rPr>
          <w:rFonts w:ascii="Times New Roman" w:hAnsi="Times New Roman"/>
          <w:sz w:val="24"/>
        </w:rPr>
        <w:t xml:space="preserve"> who are victims and wha</w:t>
      </w:r>
      <w:r>
        <w:rPr>
          <w:rFonts w:ascii="Times New Roman" w:hAnsi="Times New Roman"/>
          <w:sz w:val="24"/>
        </w:rPr>
        <w:t>t is a crime?</w:t>
      </w:r>
      <w:r w:rsidR="0088616A">
        <w:rPr>
          <w:rFonts w:ascii="Times New Roman" w:hAnsi="Times New Roman"/>
          <w:sz w:val="24"/>
        </w:rPr>
        <w:t>... Are all killings crimes, considering that some people were armed and committed aggression and others were defending themselves?</w:t>
      </w:r>
      <w:r>
        <w:rPr>
          <w:rFonts w:ascii="Times New Roman" w:hAnsi="Times New Roman"/>
          <w:sz w:val="24"/>
        </w:rPr>
        <w:t>’</w:t>
      </w:r>
      <w:r w:rsidR="0088616A">
        <w:rPr>
          <w:rStyle w:val="FootnoteReference"/>
          <w:rFonts w:ascii="Times New Roman" w:hAnsi="Times New Roman"/>
          <w:sz w:val="24"/>
        </w:rPr>
        <w:footnoteReference w:id="81"/>
      </w:r>
      <w:r w:rsidR="002D58A7">
        <w:rPr>
          <w:rFonts w:ascii="Times New Roman" w:hAnsi="Times New Roman"/>
          <w:sz w:val="24"/>
        </w:rPr>
        <w:t xml:space="preserve"> </w:t>
      </w:r>
      <w:r w:rsidR="00CA7F59">
        <w:rPr>
          <w:rFonts w:ascii="Times New Roman" w:hAnsi="Times New Roman"/>
          <w:sz w:val="24"/>
        </w:rPr>
        <w:t xml:space="preserve">A related </w:t>
      </w:r>
      <w:r w:rsidR="0066786D">
        <w:rPr>
          <w:rFonts w:ascii="Times New Roman" w:hAnsi="Times New Roman"/>
          <w:sz w:val="24"/>
        </w:rPr>
        <w:t>concern was voiced about</w:t>
      </w:r>
      <w:r w:rsidR="00CA7F59">
        <w:rPr>
          <w:rFonts w:ascii="Times New Roman" w:hAnsi="Times New Roman"/>
          <w:sz w:val="24"/>
        </w:rPr>
        <w:t xml:space="preserve"> the </w:t>
      </w:r>
      <w:r w:rsidR="00C70F20">
        <w:rPr>
          <w:rFonts w:ascii="Times New Roman" w:hAnsi="Times New Roman"/>
          <w:sz w:val="24"/>
        </w:rPr>
        <w:t>TRC’s</w:t>
      </w:r>
      <w:r w:rsidR="00CA7F59">
        <w:rPr>
          <w:rFonts w:ascii="Times New Roman" w:hAnsi="Times New Roman"/>
          <w:sz w:val="24"/>
        </w:rPr>
        <w:t xml:space="preserve"> ‘nationally balanced’ composition, which </w:t>
      </w:r>
      <w:r w:rsidR="0066786D">
        <w:rPr>
          <w:rFonts w:ascii="Times New Roman" w:hAnsi="Times New Roman"/>
          <w:sz w:val="24"/>
        </w:rPr>
        <w:t xml:space="preserve">according to </w:t>
      </w:r>
      <w:r w:rsidR="002D3B7B">
        <w:rPr>
          <w:rFonts w:ascii="Times New Roman" w:hAnsi="Times New Roman"/>
          <w:sz w:val="24"/>
        </w:rPr>
        <w:t xml:space="preserve">some </w:t>
      </w:r>
      <w:r w:rsidR="0066786D">
        <w:rPr>
          <w:rFonts w:ascii="Times New Roman" w:hAnsi="Times New Roman"/>
          <w:sz w:val="24"/>
        </w:rPr>
        <w:t xml:space="preserve">victim associations </w:t>
      </w:r>
      <w:r w:rsidR="00CA7F59">
        <w:rPr>
          <w:rFonts w:ascii="Times New Roman" w:hAnsi="Times New Roman"/>
          <w:sz w:val="24"/>
        </w:rPr>
        <w:t xml:space="preserve">would inevitably </w:t>
      </w:r>
      <w:r w:rsidR="009100FB">
        <w:rPr>
          <w:rFonts w:ascii="Times New Roman" w:hAnsi="Times New Roman"/>
          <w:sz w:val="24"/>
        </w:rPr>
        <w:t>render</w:t>
      </w:r>
      <w:r w:rsidR="00CA7F59">
        <w:rPr>
          <w:rFonts w:ascii="Times New Roman" w:hAnsi="Times New Roman"/>
          <w:sz w:val="24"/>
        </w:rPr>
        <w:t xml:space="preserve"> it a political body instead of an expert one</w:t>
      </w:r>
      <w:r w:rsidR="00BD0188">
        <w:rPr>
          <w:rFonts w:ascii="Times New Roman" w:hAnsi="Times New Roman"/>
          <w:sz w:val="24"/>
        </w:rPr>
        <w:t>.</w:t>
      </w:r>
      <w:r w:rsidR="00BD0188">
        <w:rPr>
          <w:rStyle w:val="FootnoteReference"/>
          <w:rFonts w:ascii="Times New Roman" w:hAnsi="Times New Roman"/>
          <w:sz w:val="24"/>
        </w:rPr>
        <w:footnoteReference w:id="82"/>
      </w:r>
      <w:r w:rsidR="00CA7F59">
        <w:rPr>
          <w:rFonts w:ascii="Times New Roman" w:hAnsi="Times New Roman"/>
          <w:sz w:val="24"/>
        </w:rPr>
        <w:t xml:space="preserve"> </w:t>
      </w:r>
      <w:r w:rsidR="00BD0188">
        <w:rPr>
          <w:rFonts w:ascii="Times New Roman" w:hAnsi="Times New Roman"/>
          <w:sz w:val="24"/>
        </w:rPr>
        <w:t xml:space="preserve">Finally, there were </w:t>
      </w:r>
      <w:r w:rsidR="0066786D">
        <w:rPr>
          <w:rFonts w:ascii="Times New Roman" w:hAnsi="Times New Roman"/>
          <w:sz w:val="24"/>
        </w:rPr>
        <w:t xml:space="preserve">also </w:t>
      </w:r>
      <w:r w:rsidR="00BD0188">
        <w:rPr>
          <w:rFonts w:ascii="Times New Roman" w:hAnsi="Times New Roman"/>
          <w:sz w:val="24"/>
        </w:rPr>
        <w:t>serious</w:t>
      </w:r>
      <w:r w:rsidR="002A7CCC">
        <w:rPr>
          <w:rFonts w:ascii="Times New Roman" w:hAnsi="Times New Roman"/>
          <w:sz w:val="24"/>
        </w:rPr>
        <w:t xml:space="preserve"> objections to ‘reconciliation’</w:t>
      </w:r>
      <w:r w:rsidR="00BD0188">
        <w:rPr>
          <w:rFonts w:ascii="Times New Roman" w:hAnsi="Times New Roman"/>
          <w:sz w:val="24"/>
        </w:rPr>
        <w:t xml:space="preserve"> aspect of the TRC project</w:t>
      </w:r>
      <w:r w:rsidR="002A7CCC">
        <w:rPr>
          <w:rFonts w:ascii="Times New Roman" w:hAnsi="Times New Roman"/>
          <w:sz w:val="24"/>
        </w:rPr>
        <w:t>.</w:t>
      </w:r>
      <w:r w:rsidR="00BD0188">
        <w:rPr>
          <w:rFonts w:ascii="Times New Roman" w:hAnsi="Times New Roman"/>
          <w:sz w:val="24"/>
        </w:rPr>
        <w:t xml:space="preserve"> As </w:t>
      </w:r>
      <w:r w:rsidR="006915C0">
        <w:rPr>
          <w:rFonts w:ascii="Times New Roman" w:hAnsi="Times New Roman"/>
          <w:sz w:val="24"/>
        </w:rPr>
        <w:t>Emir Suljagi</w:t>
      </w:r>
      <w:r w:rsidR="006915C0">
        <w:rPr>
          <w:rFonts w:ascii="Times New Roman" w:hAnsi="Times New Roman" w:cs="Times New Roman"/>
          <w:sz w:val="24"/>
        </w:rPr>
        <w:t>ć</w:t>
      </w:r>
      <w:r w:rsidR="007A1F27">
        <w:rPr>
          <w:rFonts w:ascii="Times New Roman" w:hAnsi="Times New Roman" w:cs="Times New Roman"/>
          <w:sz w:val="24"/>
        </w:rPr>
        <w:t>, a survivor of the Srebrenica genocide,</w:t>
      </w:r>
      <w:r w:rsidR="006915C0">
        <w:rPr>
          <w:rFonts w:ascii="Times New Roman" w:hAnsi="Times New Roman"/>
          <w:sz w:val="24"/>
        </w:rPr>
        <w:t xml:space="preserve"> </w:t>
      </w:r>
      <w:r w:rsidR="00BD0188">
        <w:rPr>
          <w:rFonts w:ascii="Times New Roman" w:hAnsi="Times New Roman"/>
          <w:sz w:val="24"/>
        </w:rPr>
        <w:t>put it:</w:t>
      </w:r>
      <w:r w:rsidR="007A1C73">
        <w:rPr>
          <w:rFonts w:ascii="Times New Roman" w:hAnsi="Times New Roman"/>
          <w:sz w:val="24"/>
        </w:rPr>
        <w:t xml:space="preserve"> </w:t>
      </w:r>
    </w:p>
    <w:p w:rsidR="007A1C73" w:rsidRDefault="00BD0188" w:rsidP="007A1C73">
      <w:pPr>
        <w:spacing w:after="0"/>
        <w:ind w:left="720"/>
        <w:rPr>
          <w:rFonts w:ascii="Times New Roman" w:hAnsi="Times New Roman"/>
          <w:sz w:val="24"/>
        </w:rPr>
      </w:pPr>
      <w:r>
        <w:rPr>
          <w:rFonts w:ascii="Times New Roman" w:hAnsi="Times New Roman"/>
          <w:sz w:val="24"/>
        </w:rPr>
        <w:t xml:space="preserve">At a time when </w:t>
      </w:r>
      <w:r w:rsidR="00CD1A03">
        <w:rPr>
          <w:rFonts w:ascii="Times New Roman" w:hAnsi="Times New Roman"/>
          <w:sz w:val="24"/>
        </w:rPr>
        <w:t xml:space="preserve">mass murderers walk the streets of this country </w:t>
      </w:r>
      <w:r>
        <w:rPr>
          <w:rFonts w:ascii="Times New Roman" w:hAnsi="Times New Roman"/>
          <w:sz w:val="24"/>
        </w:rPr>
        <w:t xml:space="preserve">quite </w:t>
      </w:r>
      <w:r w:rsidR="00CD1A03">
        <w:rPr>
          <w:rFonts w:ascii="Times New Roman" w:hAnsi="Times New Roman"/>
          <w:sz w:val="24"/>
        </w:rPr>
        <w:t>freely</w:t>
      </w:r>
      <w:r>
        <w:rPr>
          <w:rFonts w:ascii="Times New Roman" w:hAnsi="Times New Roman"/>
          <w:sz w:val="24"/>
        </w:rPr>
        <w:t xml:space="preserve">, when thousands of them work in state services and make important decisions about the everyday existence of their victims, offering the </w:t>
      </w:r>
      <w:r w:rsidR="00CD1A03">
        <w:rPr>
          <w:rFonts w:ascii="Times New Roman" w:hAnsi="Times New Roman"/>
          <w:sz w:val="24"/>
        </w:rPr>
        <w:t>[victims]</w:t>
      </w:r>
      <w:r>
        <w:rPr>
          <w:rFonts w:ascii="Times New Roman" w:hAnsi="Times New Roman"/>
          <w:sz w:val="24"/>
        </w:rPr>
        <w:t xml:space="preserve"> reconciliatio</w:t>
      </w:r>
      <w:r w:rsidR="00CD1A03">
        <w:rPr>
          <w:rFonts w:ascii="Times New Roman" w:hAnsi="Times New Roman"/>
          <w:sz w:val="24"/>
        </w:rPr>
        <w:t>n as a solution is nothing but</w:t>
      </w:r>
      <w:r>
        <w:rPr>
          <w:rFonts w:ascii="Times New Roman" w:hAnsi="Times New Roman"/>
          <w:sz w:val="24"/>
        </w:rPr>
        <w:t xml:space="preserve"> bloody cynicism</w:t>
      </w:r>
      <w:r w:rsidR="00D37CD9">
        <w:rPr>
          <w:rFonts w:ascii="Times New Roman" w:hAnsi="Times New Roman"/>
          <w:sz w:val="24"/>
        </w:rPr>
        <w:t>..</w:t>
      </w:r>
      <w:r w:rsidR="006915C0">
        <w:rPr>
          <w:rFonts w:ascii="Times New Roman" w:hAnsi="Times New Roman"/>
          <w:sz w:val="24"/>
        </w:rPr>
        <w:t>.</w:t>
      </w:r>
      <w:r w:rsidR="00447D15">
        <w:rPr>
          <w:rFonts w:ascii="Times New Roman" w:hAnsi="Times New Roman"/>
          <w:sz w:val="24"/>
        </w:rPr>
        <w:t>’</w:t>
      </w:r>
      <w:r w:rsidR="006915C0">
        <w:rPr>
          <w:rStyle w:val="FootnoteReference"/>
          <w:rFonts w:ascii="Times New Roman" w:hAnsi="Times New Roman"/>
          <w:sz w:val="24"/>
        </w:rPr>
        <w:footnoteReference w:id="83"/>
      </w:r>
      <w:r w:rsidR="00447D15">
        <w:rPr>
          <w:rFonts w:ascii="Times New Roman" w:hAnsi="Times New Roman"/>
          <w:sz w:val="24"/>
        </w:rPr>
        <w:t xml:space="preserve"> </w:t>
      </w:r>
    </w:p>
    <w:p w:rsidR="007A1C73" w:rsidRDefault="007A1C73" w:rsidP="007A1C73">
      <w:pPr>
        <w:spacing w:after="0"/>
        <w:ind w:left="720"/>
        <w:rPr>
          <w:rFonts w:ascii="Times New Roman" w:hAnsi="Times New Roman"/>
          <w:sz w:val="24"/>
        </w:rPr>
      </w:pPr>
    </w:p>
    <w:p w:rsidR="005B19C9" w:rsidRDefault="0066786D" w:rsidP="005B19C9">
      <w:pPr>
        <w:spacing w:after="0" w:line="360" w:lineRule="auto"/>
        <w:rPr>
          <w:rFonts w:ascii="Times New Roman" w:hAnsi="Times New Roman"/>
          <w:sz w:val="24"/>
        </w:rPr>
      </w:pPr>
      <w:r>
        <w:rPr>
          <w:rFonts w:ascii="Times New Roman" w:hAnsi="Times New Roman"/>
          <w:sz w:val="24"/>
        </w:rPr>
        <w:t>Many representatives of victim associations emphasized that reconciliation could not be a national project but an individual act, voluntarily given.</w:t>
      </w:r>
    </w:p>
    <w:p w:rsidR="005B19C9" w:rsidRDefault="0066786D" w:rsidP="005B19C9">
      <w:pPr>
        <w:spacing w:after="0" w:line="360" w:lineRule="auto"/>
        <w:ind w:firstLine="720"/>
        <w:rPr>
          <w:rFonts w:ascii="Times New Roman" w:hAnsi="Times New Roman"/>
          <w:sz w:val="24"/>
        </w:rPr>
      </w:pPr>
      <w:r>
        <w:rPr>
          <w:rFonts w:ascii="Times New Roman" w:hAnsi="Times New Roman"/>
          <w:sz w:val="24"/>
        </w:rPr>
        <w:t xml:space="preserve">Women’s associations </w:t>
      </w:r>
      <w:r w:rsidR="007A1F27">
        <w:rPr>
          <w:rFonts w:ascii="Times New Roman" w:hAnsi="Times New Roman"/>
          <w:sz w:val="24"/>
        </w:rPr>
        <w:t>had</w:t>
      </w:r>
      <w:r w:rsidR="00D37CD9">
        <w:rPr>
          <w:rFonts w:ascii="Times New Roman" w:hAnsi="Times New Roman"/>
          <w:sz w:val="24"/>
        </w:rPr>
        <w:t xml:space="preserve"> their own </w:t>
      </w:r>
      <w:r w:rsidR="007A1F27">
        <w:rPr>
          <w:rFonts w:ascii="Times New Roman" w:hAnsi="Times New Roman"/>
          <w:sz w:val="24"/>
        </w:rPr>
        <w:t>concerns about</w:t>
      </w:r>
      <w:r>
        <w:rPr>
          <w:rFonts w:ascii="Times New Roman" w:hAnsi="Times New Roman"/>
          <w:sz w:val="24"/>
        </w:rPr>
        <w:t xml:space="preserve"> the TRC project—a stance in which they were supported by </w:t>
      </w:r>
      <w:r w:rsidR="00903E61">
        <w:rPr>
          <w:rFonts w:ascii="Times New Roman" w:hAnsi="Times New Roman"/>
          <w:sz w:val="24"/>
        </w:rPr>
        <w:t xml:space="preserve">the </w:t>
      </w:r>
      <w:r w:rsidR="007A1F27">
        <w:rPr>
          <w:rFonts w:ascii="Times New Roman" w:hAnsi="Times New Roman"/>
          <w:sz w:val="24"/>
        </w:rPr>
        <w:t xml:space="preserve">Head of the </w:t>
      </w:r>
      <w:r w:rsidR="00903E61">
        <w:rPr>
          <w:rFonts w:ascii="Times New Roman" w:hAnsi="Times New Roman"/>
          <w:sz w:val="24"/>
        </w:rPr>
        <w:t>UN High Commission for Human Rights in Bosnia</w:t>
      </w:r>
      <w:r w:rsidR="007A1F27">
        <w:rPr>
          <w:rFonts w:ascii="Times New Roman" w:hAnsi="Times New Roman"/>
          <w:sz w:val="24"/>
        </w:rPr>
        <w:t>, Madeleine Rees</w:t>
      </w:r>
      <w:r w:rsidR="00903E61">
        <w:rPr>
          <w:rFonts w:ascii="Times New Roman" w:hAnsi="Times New Roman"/>
          <w:sz w:val="24"/>
        </w:rPr>
        <w:t>.</w:t>
      </w:r>
      <w:r w:rsidR="00903E61">
        <w:rPr>
          <w:rStyle w:val="FootnoteReference"/>
          <w:rFonts w:ascii="Times New Roman" w:hAnsi="Times New Roman"/>
          <w:sz w:val="24"/>
        </w:rPr>
        <w:footnoteReference w:id="84"/>
      </w:r>
      <w:r w:rsidR="00903E61">
        <w:rPr>
          <w:rFonts w:ascii="Times New Roman" w:hAnsi="Times New Roman"/>
          <w:sz w:val="24"/>
        </w:rPr>
        <w:t xml:space="preserve"> They were critical of the proposal to hold hearings without </w:t>
      </w:r>
      <w:r w:rsidR="00D84DCA">
        <w:rPr>
          <w:rFonts w:ascii="Times New Roman" w:hAnsi="Times New Roman"/>
          <w:sz w:val="24"/>
        </w:rPr>
        <w:t>proper consideration of</w:t>
      </w:r>
      <w:r w:rsidR="00903E61">
        <w:rPr>
          <w:rFonts w:ascii="Times New Roman" w:hAnsi="Times New Roman"/>
          <w:sz w:val="24"/>
        </w:rPr>
        <w:t xml:space="preserve"> the implications for victims of wartime sexual violence</w:t>
      </w:r>
      <w:r w:rsidR="000315AA">
        <w:rPr>
          <w:rFonts w:ascii="Times New Roman" w:hAnsi="Times New Roman"/>
          <w:sz w:val="24"/>
        </w:rPr>
        <w:t>—both because of the potential stigma and re-traumatization that they might experience and because of personal security concerns, considering that many forme</w:t>
      </w:r>
      <w:r w:rsidR="0068651B">
        <w:rPr>
          <w:rFonts w:ascii="Times New Roman" w:hAnsi="Times New Roman"/>
          <w:sz w:val="24"/>
        </w:rPr>
        <w:t xml:space="preserve">r perpetrators of sexual crimes </w:t>
      </w:r>
      <w:r w:rsidR="00DE0B5B">
        <w:rPr>
          <w:rFonts w:ascii="Times New Roman" w:hAnsi="Times New Roman"/>
          <w:sz w:val="24"/>
        </w:rPr>
        <w:t>were still working for local institutions</w:t>
      </w:r>
      <w:r w:rsidR="000315AA">
        <w:rPr>
          <w:rFonts w:ascii="Times New Roman" w:hAnsi="Times New Roman"/>
          <w:sz w:val="24"/>
        </w:rPr>
        <w:t>.</w:t>
      </w:r>
      <w:r w:rsidR="000315AA">
        <w:rPr>
          <w:rStyle w:val="FootnoteReference"/>
          <w:rFonts w:ascii="Times New Roman" w:hAnsi="Times New Roman"/>
          <w:sz w:val="24"/>
        </w:rPr>
        <w:footnoteReference w:id="85"/>
      </w:r>
      <w:r w:rsidR="000315AA">
        <w:rPr>
          <w:rFonts w:ascii="Times New Roman" w:hAnsi="Times New Roman"/>
          <w:sz w:val="24"/>
        </w:rPr>
        <w:t xml:space="preserve"> </w:t>
      </w:r>
      <w:r w:rsidR="00DE0B5B">
        <w:rPr>
          <w:rFonts w:ascii="Times New Roman" w:hAnsi="Times New Roman"/>
          <w:sz w:val="24"/>
        </w:rPr>
        <w:t>Furthermore</w:t>
      </w:r>
      <w:r w:rsidR="00447D15">
        <w:rPr>
          <w:rFonts w:ascii="Times New Roman" w:hAnsi="Times New Roman"/>
          <w:sz w:val="24"/>
        </w:rPr>
        <w:t>, a</w:t>
      </w:r>
      <w:r w:rsidR="00D54B96">
        <w:rPr>
          <w:rFonts w:ascii="Times New Roman" w:hAnsi="Times New Roman"/>
          <w:sz w:val="24"/>
        </w:rPr>
        <w:t>s Marita Eastmond notes, some ‘</w:t>
      </w:r>
      <w:r w:rsidR="00D54B96">
        <w:rPr>
          <w:rFonts w:ascii="Times New Roman" w:hAnsi="Times New Roman" w:cs="Times New Roman"/>
          <w:sz w:val="24"/>
          <w:szCs w:val="24"/>
        </w:rPr>
        <w:t xml:space="preserve">victims of sexual abuse may resort to silence as both a personal and a cultural strategy of maintaining </w:t>
      </w:r>
      <w:r w:rsidR="00D54B96">
        <w:rPr>
          <w:rFonts w:ascii="Times New Roman" w:hAnsi="Times New Roman" w:cs="Times New Roman"/>
          <w:sz w:val="24"/>
          <w:szCs w:val="24"/>
        </w:rPr>
        <w:lastRenderedPageBreak/>
        <w:t>family relationships and public respect.’</w:t>
      </w:r>
      <w:r w:rsidR="00D54B96">
        <w:rPr>
          <w:rStyle w:val="FootnoteReference"/>
          <w:rFonts w:ascii="Times New Roman" w:hAnsi="Times New Roman" w:cs="Times New Roman"/>
          <w:sz w:val="24"/>
          <w:szCs w:val="24"/>
        </w:rPr>
        <w:footnoteReference w:id="86"/>
      </w:r>
      <w:r w:rsidR="00D54B96">
        <w:rPr>
          <w:rFonts w:ascii="Times New Roman" w:hAnsi="Times New Roman" w:cs="Times New Roman"/>
          <w:sz w:val="24"/>
          <w:szCs w:val="24"/>
        </w:rPr>
        <w:t xml:space="preserve"> </w:t>
      </w:r>
      <w:r w:rsidR="00D54B96">
        <w:rPr>
          <w:rFonts w:ascii="Times New Roman" w:hAnsi="Times New Roman"/>
          <w:sz w:val="24"/>
        </w:rPr>
        <w:t xml:space="preserve">Others, who </w:t>
      </w:r>
      <w:r w:rsidR="000315AA">
        <w:rPr>
          <w:rFonts w:ascii="Times New Roman" w:hAnsi="Times New Roman"/>
          <w:sz w:val="24"/>
        </w:rPr>
        <w:t>believed in the necessity of testifying in trials</w:t>
      </w:r>
      <w:r w:rsidR="00D54B96">
        <w:rPr>
          <w:rFonts w:ascii="Times New Roman" w:hAnsi="Times New Roman"/>
          <w:sz w:val="24"/>
        </w:rPr>
        <w:t xml:space="preserve">, did not appear to see </w:t>
      </w:r>
      <w:r w:rsidR="000315AA">
        <w:rPr>
          <w:rFonts w:ascii="Times New Roman" w:hAnsi="Times New Roman"/>
          <w:sz w:val="24"/>
        </w:rPr>
        <w:t>any benefit in doing so for the sake of national ‘reconcili</w:t>
      </w:r>
      <w:r w:rsidR="005B19C9">
        <w:rPr>
          <w:rFonts w:ascii="Times New Roman" w:hAnsi="Times New Roman"/>
          <w:sz w:val="24"/>
        </w:rPr>
        <w:t>ation’; their purpose was the ac</w:t>
      </w:r>
      <w:r w:rsidR="000315AA">
        <w:rPr>
          <w:rFonts w:ascii="Times New Roman" w:hAnsi="Times New Roman"/>
          <w:sz w:val="24"/>
        </w:rPr>
        <w:t>hievement of accountability for perpetrators first and foremost.</w:t>
      </w:r>
      <w:r w:rsidR="008C01CF">
        <w:rPr>
          <w:rStyle w:val="FootnoteReference"/>
          <w:rFonts w:ascii="Times New Roman" w:hAnsi="Times New Roman"/>
          <w:sz w:val="24"/>
        </w:rPr>
        <w:footnoteReference w:id="87"/>
      </w:r>
      <w:r w:rsidR="000315AA">
        <w:rPr>
          <w:rFonts w:ascii="Times New Roman" w:hAnsi="Times New Roman"/>
          <w:sz w:val="24"/>
        </w:rPr>
        <w:t xml:space="preserve"> </w:t>
      </w:r>
    </w:p>
    <w:p w:rsidR="00275EB9" w:rsidRDefault="000315AA" w:rsidP="005B19C9">
      <w:pPr>
        <w:spacing w:line="360" w:lineRule="auto"/>
        <w:ind w:firstLine="720"/>
        <w:rPr>
          <w:rFonts w:ascii="Times New Roman" w:hAnsi="Times New Roman"/>
          <w:sz w:val="24"/>
        </w:rPr>
      </w:pPr>
      <w:r>
        <w:rPr>
          <w:rFonts w:ascii="Times New Roman" w:hAnsi="Times New Roman"/>
          <w:sz w:val="24"/>
        </w:rPr>
        <w:t xml:space="preserve">This preference for judicial processes over truth and reconciliation projects was broadly shared among victims’ associations, who viewed the latter as a </w:t>
      </w:r>
      <w:r w:rsidR="008C01CF">
        <w:rPr>
          <w:rFonts w:ascii="Times New Roman" w:hAnsi="Times New Roman"/>
          <w:sz w:val="24"/>
        </w:rPr>
        <w:t xml:space="preserve">potential </w:t>
      </w:r>
      <w:r>
        <w:rPr>
          <w:rFonts w:ascii="Times New Roman" w:hAnsi="Times New Roman"/>
          <w:sz w:val="24"/>
        </w:rPr>
        <w:t>distraction from the former.</w:t>
      </w:r>
      <w:r w:rsidR="009C0851">
        <w:rPr>
          <w:rFonts w:ascii="Times New Roman" w:hAnsi="Times New Roman"/>
          <w:sz w:val="24"/>
        </w:rPr>
        <w:t xml:space="preserve"> As </w:t>
      </w:r>
      <w:r w:rsidR="008C01CF">
        <w:rPr>
          <w:rFonts w:ascii="Times New Roman" w:hAnsi="Times New Roman"/>
          <w:sz w:val="24"/>
        </w:rPr>
        <w:t>one representative noted</w:t>
      </w:r>
      <w:r w:rsidR="009C0851">
        <w:rPr>
          <w:rFonts w:ascii="Times New Roman" w:hAnsi="Times New Roman"/>
          <w:sz w:val="24"/>
        </w:rPr>
        <w:t>, it was not necessary to creat</w:t>
      </w:r>
      <w:r w:rsidR="00DE0B5B">
        <w:rPr>
          <w:rFonts w:ascii="Times New Roman" w:hAnsi="Times New Roman"/>
          <w:sz w:val="24"/>
        </w:rPr>
        <w:t xml:space="preserve">e new institutions, </w:t>
      </w:r>
      <w:r w:rsidR="009C0851">
        <w:rPr>
          <w:rFonts w:ascii="Times New Roman" w:hAnsi="Times New Roman"/>
          <w:sz w:val="24"/>
        </w:rPr>
        <w:t xml:space="preserve">but to </w:t>
      </w:r>
      <w:r w:rsidR="00E66AE0">
        <w:rPr>
          <w:rFonts w:ascii="Times New Roman" w:hAnsi="Times New Roman"/>
          <w:sz w:val="24"/>
        </w:rPr>
        <w:t>en</w:t>
      </w:r>
      <w:r w:rsidR="009C0851">
        <w:rPr>
          <w:rFonts w:ascii="Times New Roman" w:hAnsi="Times New Roman"/>
          <w:sz w:val="24"/>
        </w:rPr>
        <w:t>sure that the existing ones carried out their work ‘professionally and properly’</w:t>
      </w:r>
      <w:r w:rsidR="009C0851" w:rsidRPr="00474CD2">
        <w:rPr>
          <w:rFonts w:ascii="Times New Roman" w:hAnsi="Times New Roman"/>
          <w:sz w:val="24"/>
        </w:rPr>
        <w:t>.</w:t>
      </w:r>
      <w:r w:rsidR="009C0851">
        <w:rPr>
          <w:rStyle w:val="FootnoteReference"/>
          <w:rFonts w:ascii="Times New Roman" w:hAnsi="Times New Roman"/>
          <w:sz w:val="24"/>
        </w:rPr>
        <w:footnoteReference w:id="88"/>
      </w:r>
      <w:r w:rsidR="002D58A7">
        <w:rPr>
          <w:rFonts w:ascii="Times New Roman" w:hAnsi="Times New Roman"/>
          <w:sz w:val="24"/>
        </w:rPr>
        <w:t xml:space="preserve"> </w:t>
      </w:r>
      <w:r w:rsidR="0049297E">
        <w:rPr>
          <w:rFonts w:ascii="Times New Roman" w:hAnsi="Times New Roman"/>
          <w:sz w:val="24"/>
        </w:rPr>
        <w:t>M</w:t>
      </w:r>
      <w:r w:rsidR="008C01CF">
        <w:rPr>
          <w:rFonts w:ascii="Times New Roman" w:hAnsi="Times New Roman"/>
          <w:sz w:val="24"/>
        </w:rPr>
        <w:t xml:space="preserve">any victim associations </w:t>
      </w:r>
      <w:r w:rsidR="00474EB2">
        <w:rPr>
          <w:rFonts w:ascii="Times New Roman" w:hAnsi="Times New Roman"/>
          <w:sz w:val="24"/>
        </w:rPr>
        <w:t xml:space="preserve">called for changes that would improve their everyday life: </w:t>
      </w:r>
      <w:r w:rsidR="00FE65F1">
        <w:rPr>
          <w:rFonts w:ascii="Times New Roman" w:hAnsi="Times New Roman"/>
          <w:sz w:val="24"/>
        </w:rPr>
        <w:t xml:space="preserve">the </w:t>
      </w:r>
      <w:r w:rsidR="00A77698">
        <w:rPr>
          <w:rFonts w:ascii="Times New Roman" w:hAnsi="Times New Roman"/>
          <w:sz w:val="24"/>
        </w:rPr>
        <w:t xml:space="preserve">purging of known war criminals from </w:t>
      </w:r>
      <w:r w:rsidR="00E66AE0">
        <w:rPr>
          <w:rFonts w:ascii="Times New Roman" w:hAnsi="Times New Roman"/>
          <w:sz w:val="24"/>
        </w:rPr>
        <w:t>official</w:t>
      </w:r>
      <w:r w:rsidR="00A77698">
        <w:rPr>
          <w:rFonts w:ascii="Times New Roman" w:hAnsi="Times New Roman"/>
          <w:sz w:val="24"/>
        </w:rPr>
        <w:t xml:space="preserve"> </w:t>
      </w:r>
      <w:r w:rsidR="00D83F31">
        <w:rPr>
          <w:rFonts w:ascii="Times New Roman" w:hAnsi="Times New Roman"/>
          <w:sz w:val="24"/>
        </w:rPr>
        <w:t>institutions</w:t>
      </w:r>
      <w:r w:rsidR="00176C0A">
        <w:rPr>
          <w:rFonts w:ascii="Times New Roman" w:hAnsi="Times New Roman"/>
          <w:sz w:val="24"/>
        </w:rPr>
        <w:t>,</w:t>
      </w:r>
      <w:r w:rsidR="00D83F31">
        <w:rPr>
          <w:rFonts w:ascii="Times New Roman" w:hAnsi="Times New Roman"/>
          <w:sz w:val="24"/>
        </w:rPr>
        <w:t xml:space="preserve"> </w:t>
      </w:r>
      <w:r w:rsidR="002D58A7">
        <w:rPr>
          <w:rFonts w:ascii="Times New Roman" w:hAnsi="Times New Roman"/>
          <w:sz w:val="24"/>
        </w:rPr>
        <w:t xml:space="preserve">access to social security, </w:t>
      </w:r>
      <w:r w:rsidR="00222B71">
        <w:rPr>
          <w:rFonts w:ascii="Times New Roman" w:hAnsi="Times New Roman"/>
          <w:sz w:val="24"/>
        </w:rPr>
        <w:t xml:space="preserve">improved </w:t>
      </w:r>
      <w:r w:rsidR="002D58A7">
        <w:rPr>
          <w:rFonts w:ascii="Times New Roman" w:hAnsi="Times New Roman"/>
          <w:sz w:val="24"/>
        </w:rPr>
        <w:t>medical and psychological counselling services</w:t>
      </w:r>
      <w:r w:rsidR="009C0851">
        <w:rPr>
          <w:rFonts w:ascii="Times New Roman" w:hAnsi="Times New Roman"/>
          <w:sz w:val="24"/>
        </w:rPr>
        <w:t>, the achievement of legal status for s</w:t>
      </w:r>
      <w:r w:rsidR="00DE0B5B">
        <w:rPr>
          <w:rFonts w:ascii="Times New Roman" w:hAnsi="Times New Roman"/>
          <w:sz w:val="24"/>
        </w:rPr>
        <w:t>urvivors or families of victims (</w:t>
      </w:r>
      <w:r w:rsidR="00E66AE0">
        <w:rPr>
          <w:rFonts w:ascii="Times New Roman" w:hAnsi="Times New Roman"/>
          <w:sz w:val="24"/>
        </w:rPr>
        <w:t>enabling</w:t>
      </w:r>
      <w:r w:rsidR="009C0851">
        <w:rPr>
          <w:rFonts w:ascii="Times New Roman" w:hAnsi="Times New Roman"/>
          <w:sz w:val="24"/>
        </w:rPr>
        <w:t xml:space="preserve"> </w:t>
      </w:r>
      <w:r w:rsidR="00196C52">
        <w:rPr>
          <w:rFonts w:ascii="Times New Roman" w:hAnsi="Times New Roman"/>
          <w:sz w:val="24"/>
        </w:rPr>
        <w:t>the unblocking of</w:t>
      </w:r>
      <w:r w:rsidR="00DE0B5B">
        <w:rPr>
          <w:rFonts w:ascii="Times New Roman" w:hAnsi="Times New Roman"/>
          <w:sz w:val="24"/>
        </w:rPr>
        <w:t xml:space="preserve"> pensions or inheritance), </w:t>
      </w:r>
      <w:r w:rsidR="00222B71">
        <w:rPr>
          <w:rFonts w:ascii="Times New Roman" w:hAnsi="Times New Roman"/>
          <w:sz w:val="24"/>
        </w:rPr>
        <w:t>and</w:t>
      </w:r>
      <w:r w:rsidR="009C0851">
        <w:rPr>
          <w:rFonts w:ascii="Times New Roman" w:hAnsi="Times New Roman"/>
          <w:sz w:val="24"/>
        </w:rPr>
        <w:t xml:space="preserve"> </w:t>
      </w:r>
      <w:r w:rsidR="00196C52">
        <w:rPr>
          <w:rFonts w:ascii="Times New Roman" w:hAnsi="Times New Roman"/>
          <w:sz w:val="24"/>
        </w:rPr>
        <w:t>the securing of</w:t>
      </w:r>
      <w:r w:rsidR="009C0851">
        <w:rPr>
          <w:rFonts w:ascii="Times New Roman" w:hAnsi="Times New Roman"/>
          <w:sz w:val="24"/>
        </w:rPr>
        <w:t xml:space="preserve"> reparations and financial </w:t>
      </w:r>
      <w:r w:rsidR="00196C52">
        <w:rPr>
          <w:rFonts w:ascii="Times New Roman" w:hAnsi="Times New Roman"/>
          <w:sz w:val="24"/>
        </w:rPr>
        <w:t>aid</w:t>
      </w:r>
      <w:r w:rsidR="009C0851">
        <w:rPr>
          <w:rFonts w:ascii="Times New Roman" w:hAnsi="Times New Roman"/>
          <w:sz w:val="24"/>
        </w:rPr>
        <w:t xml:space="preserve"> to alleviate difficult socio-economic conditions, particularly for minority returnees</w:t>
      </w:r>
      <w:r w:rsidR="002D58A7">
        <w:rPr>
          <w:rFonts w:ascii="Times New Roman" w:hAnsi="Times New Roman"/>
          <w:sz w:val="24"/>
        </w:rPr>
        <w:t>.</w:t>
      </w:r>
      <w:r w:rsidR="002D58A7">
        <w:rPr>
          <w:rStyle w:val="FootnoteReference"/>
          <w:rFonts w:ascii="Times New Roman" w:hAnsi="Times New Roman"/>
          <w:sz w:val="24"/>
        </w:rPr>
        <w:footnoteReference w:id="89"/>
      </w:r>
      <w:r w:rsidR="004533A9">
        <w:rPr>
          <w:rFonts w:ascii="Times New Roman" w:hAnsi="Times New Roman"/>
          <w:sz w:val="24"/>
        </w:rPr>
        <w:t xml:space="preserve"> </w:t>
      </w:r>
      <w:r w:rsidR="00F049F5">
        <w:rPr>
          <w:rFonts w:ascii="Times New Roman" w:hAnsi="Times New Roman" w:cs="Times New Roman"/>
          <w:sz w:val="24"/>
          <w:szCs w:val="24"/>
        </w:rPr>
        <w:t>As Eastmond notes, ‘</w:t>
      </w:r>
      <w:r w:rsidR="00F049F5">
        <w:rPr>
          <w:rFonts w:ascii="Times New Roman" w:hAnsi="Times New Roman"/>
          <w:sz w:val="24"/>
        </w:rPr>
        <w:t>external reconciliation initiatives seem to be curiously at odds with the primary concerns of most Bosnians, as they struggle to find their bearings in a profoundly changing socio-political reality’.</w:t>
      </w:r>
      <w:r w:rsidR="00F049F5">
        <w:rPr>
          <w:rStyle w:val="FootnoteReference"/>
          <w:rFonts w:ascii="Times New Roman" w:hAnsi="Times New Roman" w:cs="Times New Roman"/>
          <w:sz w:val="24"/>
          <w:szCs w:val="24"/>
        </w:rPr>
        <w:footnoteReference w:id="90"/>
      </w:r>
      <w:r w:rsidR="00F049F5">
        <w:rPr>
          <w:rFonts w:ascii="Times New Roman" w:hAnsi="Times New Roman"/>
          <w:sz w:val="24"/>
        </w:rPr>
        <w:t xml:space="preserve"> </w:t>
      </w:r>
      <w:r w:rsidR="00474EB2">
        <w:rPr>
          <w:rFonts w:ascii="Times New Roman" w:hAnsi="Times New Roman"/>
          <w:sz w:val="24"/>
        </w:rPr>
        <w:t xml:space="preserve">Instead of </w:t>
      </w:r>
      <w:r w:rsidR="00765CD4">
        <w:rPr>
          <w:rFonts w:ascii="Times New Roman" w:hAnsi="Times New Roman"/>
          <w:sz w:val="24"/>
        </w:rPr>
        <w:t>efforts to</w:t>
      </w:r>
      <w:r w:rsidR="00474EB2">
        <w:rPr>
          <w:rFonts w:ascii="Times New Roman" w:hAnsi="Times New Roman"/>
          <w:sz w:val="24"/>
        </w:rPr>
        <w:t xml:space="preserve"> produc</w:t>
      </w:r>
      <w:r w:rsidR="00765CD4">
        <w:rPr>
          <w:rFonts w:ascii="Times New Roman" w:hAnsi="Times New Roman"/>
          <w:sz w:val="24"/>
        </w:rPr>
        <w:t>e</w:t>
      </w:r>
      <w:r w:rsidR="00474EB2">
        <w:rPr>
          <w:rFonts w:ascii="Times New Roman" w:hAnsi="Times New Roman"/>
          <w:sz w:val="24"/>
        </w:rPr>
        <w:t xml:space="preserve"> a grand narrative of the war and promot</w:t>
      </w:r>
      <w:r w:rsidR="00765CD4">
        <w:rPr>
          <w:rFonts w:ascii="Times New Roman" w:hAnsi="Times New Roman"/>
          <w:sz w:val="24"/>
        </w:rPr>
        <w:t>e</w:t>
      </w:r>
      <w:r w:rsidR="00474EB2">
        <w:rPr>
          <w:rFonts w:ascii="Times New Roman" w:hAnsi="Times New Roman"/>
          <w:sz w:val="24"/>
        </w:rPr>
        <w:t xml:space="preserve"> </w:t>
      </w:r>
      <w:r w:rsidR="00222B71">
        <w:rPr>
          <w:rFonts w:ascii="Times New Roman" w:hAnsi="Times New Roman"/>
          <w:sz w:val="24"/>
        </w:rPr>
        <w:t xml:space="preserve">national </w:t>
      </w:r>
      <w:r w:rsidR="00474EB2">
        <w:rPr>
          <w:rFonts w:ascii="Times New Roman" w:hAnsi="Times New Roman"/>
          <w:sz w:val="24"/>
        </w:rPr>
        <w:t xml:space="preserve">reconciliation, </w:t>
      </w:r>
      <w:r w:rsidR="00D37CD9">
        <w:rPr>
          <w:rFonts w:ascii="Times New Roman" w:hAnsi="Times New Roman"/>
          <w:sz w:val="24"/>
        </w:rPr>
        <w:t>many</w:t>
      </w:r>
      <w:r w:rsidR="00474EB2">
        <w:rPr>
          <w:rFonts w:ascii="Times New Roman" w:hAnsi="Times New Roman"/>
          <w:sz w:val="24"/>
        </w:rPr>
        <w:t xml:space="preserve"> </w:t>
      </w:r>
      <w:r w:rsidR="00C63B3C">
        <w:rPr>
          <w:rFonts w:ascii="Times New Roman" w:hAnsi="Times New Roman"/>
          <w:sz w:val="24"/>
        </w:rPr>
        <w:t xml:space="preserve">preferred </w:t>
      </w:r>
      <w:r w:rsidR="00474EB2">
        <w:rPr>
          <w:rFonts w:ascii="Times New Roman" w:hAnsi="Times New Roman"/>
          <w:sz w:val="24"/>
        </w:rPr>
        <w:t xml:space="preserve">the strengthening </w:t>
      </w:r>
      <w:r w:rsidR="00C63B3C">
        <w:rPr>
          <w:rFonts w:ascii="Times New Roman" w:hAnsi="Times New Roman"/>
          <w:sz w:val="24"/>
        </w:rPr>
        <w:t xml:space="preserve">of </w:t>
      </w:r>
      <w:r w:rsidR="00474EB2">
        <w:rPr>
          <w:rFonts w:ascii="Times New Roman" w:hAnsi="Times New Roman"/>
          <w:sz w:val="24"/>
        </w:rPr>
        <w:t xml:space="preserve">local initiatives </w:t>
      </w:r>
      <w:r w:rsidR="00D201A9">
        <w:rPr>
          <w:rFonts w:ascii="Times New Roman" w:hAnsi="Times New Roman"/>
          <w:sz w:val="24"/>
        </w:rPr>
        <w:t>aimed at securing their civil and economic rights</w:t>
      </w:r>
      <w:r w:rsidR="00627B1F">
        <w:rPr>
          <w:rFonts w:ascii="Times New Roman" w:hAnsi="Times New Roman"/>
          <w:sz w:val="24"/>
        </w:rPr>
        <w:t>.</w:t>
      </w:r>
      <w:r w:rsidR="00627B1F">
        <w:rPr>
          <w:rStyle w:val="FootnoteReference"/>
          <w:rFonts w:ascii="Times New Roman" w:hAnsi="Times New Roman"/>
          <w:sz w:val="24"/>
        </w:rPr>
        <w:footnoteReference w:id="91"/>
      </w:r>
    </w:p>
    <w:p w:rsidR="00765CD4" w:rsidRDefault="00765CD4" w:rsidP="00474EB2">
      <w:pPr>
        <w:spacing w:line="360" w:lineRule="auto"/>
        <w:rPr>
          <w:rFonts w:ascii="Times New Roman" w:hAnsi="Times New Roman"/>
          <w:sz w:val="24"/>
        </w:rPr>
      </w:pPr>
    </w:p>
    <w:p w:rsidR="00176C0A" w:rsidRDefault="00257791" w:rsidP="00176C0A">
      <w:pPr>
        <w:spacing w:line="360" w:lineRule="auto"/>
        <w:rPr>
          <w:rFonts w:ascii="Times New Roman" w:hAnsi="Times New Roman" w:cs="Times New Roman"/>
          <w:b/>
          <w:i/>
          <w:sz w:val="24"/>
          <w:szCs w:val="24"/>
        </w:rPr>
      </w:pPr>
      <w:r w:rsidRPr="00257791">
        <w:rPr>
          <w:rFonts w:ascii="Times New Roman" w:hAnsi="Times New Roman" w:cs="Times New Roman"/>
          <w:b/>
          <w:i/>
          <w:sz w:val="24"/>
          <w:szCs w:val="24"/>
        </w:rPr>
        <w:t xml:space="preserve">Conclusion: </w:t>
      </w:r>
      <w:r w:rsidR="005373C5">
        <w:rPr>
          <w:rFonts w:ascii="Times New Roman" w:hAnsi="Times New Roman" w:cs="Times New Roman"/>
          <w:b/>
          <w:i/>
          <w:sz w:val="24"/>
          <w:szCs w:val="24"/>
        </w:rPr>
        <w:t>creating truth commissions in post-conflict settings</w:t>
      </w:r>
    </w:p>
    <w:p w:rsidR="009E6D57" w:rsidRDefault="004A4662" w:rsidP="004E79F9">
      <w:pPr>
        <w:spacing w:line="360" w:lineRule="auto"/>
        <w:ind w:firstLine="720"/>
        <w:rPr>
          <w:rFonts w:ascii="Times New Roman" w:hAnsi="Times New Roman" w:cs="Times New Roman"/>
          <w:sz w:val="24"/>
          <w:szCs w:val="24"/>
        </w:rPr>
      </w:pPr>
      <w:r>
        <w:rPr>
          <w:rFonts w:ascii="Times New Roman" w:hAnsi="Times New Roman" w:cs="Times New Roman"/>
          <w:sz w:val="24"/>
          <w:szCs w:val="24"/>
        </w:rPr>
        <w:t>As</w:t>
      </w:r>
      <w:r w:rsidRPr="004A4662">
        <w:rPr>
          <w:rFonts w:ascii="Times New Roman" w:hAnsi="Times New Roman" w:cs="Times New Roman"/>
          <w:sz w:val="24"/>
          <w:szCs w:val="24"/>
        </w:rPr>
        <w:t xml:space="preserve"> </w:t>
      </w:r>
      <w:r>
        <w:rPr>
          <w:rFonts w:ascii="Times New Roman" w:hAnsi="Times New Roman" w:cs="Times New Roman"/>
          <w:sz w:val="24"/>
          <w:szCs w:val="24"/>
        </w:rPr>
        <w:t>truth commissions have proliferated around the world,</w:t>
      </w:r>
      <w:r w:rsidR="00CF5FE9">
        <w:rPr>
          <w:rFonts w:ascii="Times New Roman" w:hAnsi="Times New Roman" w:cs="Times New Roman"/>
          <w:sz w:val="24"/>
          <w:szCs w:val="24"/>
        </w:rPr>
        <w:t xml:space="preserve"> scholars a</w:t>
      </w:r>
      <w:r w:rsidR="00504657">
        <w:rPr>
          <w:rFonts w:ascii="Times New Roman" w:hAnsi="Times New Roman" w:cs="Times New Roman"/>
          <w:sz w:val="24"/>
          <w:szCs w:val="24"/>
        </w:rPr>
        <w:t>n</w:t>
      </w:r>
      <w:r w:rsidR="00CF5FE9">
        <w:rPr>
          <w:rFonts w:ascii="Times New Roman" w:hAnsi="Times New Roman" w:cs="Times New Roman"/>
          <w:sz w:val="24"/>
          <w:szCs w:val="24"/>
        </w:rPr>
        <w:t>d practitioners have i</w:t>
      </w:r>
      <w:r>
        <w:rPr>
          <w:rFonts w:ascii="Times New Roman" w:hAnsi="Times New Roman" w:cs="Times New Roman"/>
          <w:sz w:val="24"/>
          <w:szCs w:val="24"/>
        </w:rPr>
        <w:t>ncreasingly</w:t>
      </w:r>
      <w:r w:rsidR="00CF5FE9">
        <w:rPr>
          <w:rFonts w:ascii="Times New Roman" w:hAnsi="Times New Roman" w:cs="Times New Roman"/>
          <w:sz w:val="24"/>
          <w:szCs w:val="24"/>
        </w:rPr>
        <w:t xml:space="preserve"> warned about </w:t>
      </w:r>
      <w:r w:rsidR="00E43164">
        <w:rPr>
          <w:rFonts w:ascii="Times New Roman" w:hAnsi="Times New Roman" w:cs="Times New Roman"/>
          <w:sz w:val="24"/>
          <w:szCs w:val="24"/>
        </w:rPr>
        <w:t xml:space="preserve">their </w:t>
      </w:r>
      <w:r w:rsidR="00CF5FE9">
        <w:rPr>
          <w:rFonts w:ascii="Times New Roman" w:hAnsi="Times New Roman" w:cs="Times New Roman"/>
          <w:sz w:val="24"/>
          <w:szCs w:val="24"/>
        </w:rPr>
        <w:t xml:space="preserve">growing </w:t>
      </w:r>
      <w:r w:rsidR="00E43164">
        <w:rPr>
          <w:rFonts w:ascii="Times New Roman" w:hAnsi="Times New Roman" w:cs="Times New Roman"/>
          <w:sz w:val="24"/>
          <w:szCs w:val="24"/>
        </w:rPr>
        <w:t xml:space="preserve">complexity and </w:t>
      </w:r>
      <w:r w:rsidR="00CF5FE9">
        <w:rPr>
          <w:rFonts w:ascii="Times New Roman" w:hAnsi="Times New Roman" w:cs="Times New Roman"/>
          <w:sz w:val="24"/>
          <w:szCs w:val="24"/>
        </w:rPr>
        <w:t>excessively expanding</w:t>
      </w:r>
      <w:r w:rsidR="00E43164">
        <w:rPr>
          <w:rFonts w:ascii="Times New Roman" w:hAnsi="Times New Roman" w:cs="Times New Roman"/>
          <w:sz w:val="24"/>
          <w:szCs w:val="24"/>
        </w:rPr>
        <w:t xml:space="preserve"> mandates</w:t>
      </w:r>
      <w:r w:rsidR="00CF5FE9">
        <w:rPr>
          <w:rFonts w:ascii="Times New Roman" w:hAnsi="Times New Roman" w:cs="Times New Roman"/>
          <w:sz w:val="24"/>
          <w:szCs w:val="24"/>
        </w:rPr>
        <w:t>, which are hampering their chances of success</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92"/>
      </w:r>
      <w:r w:rsidR="00E43164">
        <w:rPr>
          <w:rFonts w:ascii="Times New Roman" w:hAnsi="Times New Roman" w:cs="Times New Roman"/>
          <w:sz w:val="24"/>
          <w:szCs w:val="24"/>
        </w:rPr>
        <w:t xml:space="preserve"> </w:t>
      </w:r>
      <w:r w:rsidR="00504657">
        <w:rPr>
          <w:rFonts w:ascii="Times New Roman" w:hAnsi="Times New Roman" w:cs="Times New Roman"/>
          <w:sz w:val="24"/>
          <w:szCs w:val="24"/>
        </w:rPr>
        <w:t>This evolution in the literature demonstrates a</w:t>
      </w:r>
      <w:r w:rsidR="00CF5FE9">
        <w:rPr>
          <w:rFonts w:ascii="Times New Roman" w:hAnsi="Times New Roman" w:cs="Times New Roman"/>
          <w:sz w:val="24"/>
          <w:szCs w:val="24"/>
        </w:rPr>
        <w:t xml:space="preserve"> growing awareness of the potential problems and setbacks in attempts to </w:t>
      </w:r>
      <w:r w:rsidR="00CF5FE9">
        <w:rPr>
          <w:rFonts w:ascii="Times New Roman" w:hAnsi="Times New Roman" w:cs="Times New Roman"/>
          <w:sz w:val="24"/>
          <w:szCs w:val="24"/>
        </w:rPr>
        <w:lastRenderedPageBreak/>
        <w:t xml:space="preserve">refine </w:t>
      </w:r>
      <w:r w:rsidR="00504657">
        <w:rPr>
          <w:rFonts w:ascii="Times New Roman" w:hAnsi="Times New Roman" w:cs="Times New Roman"/>
          <w:sz w:val="24"/>
          <w:szCs w:val="24"/>
        </w:rPr>
        <w:t xml:space="preserve">what </w:t>
      </w:r>
      <w:r w:rsidR="00751401">
        <w:rPr>
          <w:rFonts w:ascii="Times New Roman" w:hAnsi="Times New Roman" w:cs="Times New Roman"/>
          <w:sz w:val="24"/>
          <w:szCs w:val="24"/>
        </w:rPr>
        <w:t>is</w:t>
      </w:r>
      <w:r w:rsidR="00CF5FE9">
        <w:rPr>
          <w:rFonts w:ascii="Times New Roman" w:hAnsi="Times New Roman" w:cs="Times New Roman"/>
          <w:sz w:val="24"/>
          <w:szCs w:val="24"/>
        </w:rPr>
        <w:t xml:space="preserve"> one of the key</w:t>
      </w:r>
      <w:r w:rsidR="00535FDA">
        <w:rPr>
          <w:rFonts w:ascii="Times New Roman" w:hAnsi="Times New Roman" w:cs="Times New Roman"/>
          <w:sz w:val="24"/>
          <w:szCs w:val="24"/>
        </w:rPr>
        <w:t xml:space="preserve"> mechanisms of transitional justice</w:t>
      </w:r>
      <w:r w:rsidR="00CF5FE9">
        <w:rPr>
          <w:rFonts w:ascii="Times New Roman" w:hAnsi="Times New Roman" w:cs="Times New Roman"/>
          <w:sz w:val="24"/>
          <w:szCs w:val="24"/>
        </w:rPr>
        <w:t>. T</w:t>
      </w:r>
      <w:r>
        <w:rPr>
          <w:rFonts w:ascii="Times New Roman" w:hAnsi="Times New Roman" w:cs="Times New Roman"/>
          <w:sz w:val="24"/>
          <w:szCs w:val="24"/>
        </w:rPr>
        <w:t>h</w:t>
      </w:r>
      <w:r w:rsidR="00261898">
        <w:rPr>
          <w:rFonts w:ascii="Times New Roman" w:hAnsi="Times New Roman" w:cs="Times New Roman"/>
          <w:sz w:val="24"/>
          <w:szCs w:val="24"/>
        </w:rPr>
        <w:t>e</w:t>
      </w:r>
      <w:r w:rsidR="009E6D57">
        <w:rPr>
          <w:rFonts w:ascii="Times New Roman" w:hAnsi="Times New Roman" w:cs="Times New Roman"/>
          <w:sz w:val="24"/>
          <w:szCs w:val="24"/>
        </w:rPr>
        <w:t xml:space="preserve"> history of the </w:t>
      </w:r>
      <w:r>
        <w:rPr>
          <w:rFonts w:ascii="Times New Roman" w:hAnsi="Times New Roman" w:cs="Times New Roman"/>
          <w:sz w:val="24"/>
          <w:szCs w:val="24"/>
        </w:rPr>
        <w:t xml:space="preserve">attempts </w:t>
      </w:r>
      <w:r w:rsidR="00CF5FE9">
        <w:rPr>
          <w:rFonts w:ascii="Times New Roman" w:hAnsi="Times New Roman" w:cs="Times New Roman"/>
          <w:sz w:val="24"/>
          <w:szCs w:val="24"/>
        </w:rPr>
        <w:t>to create</w:t>
      </w:r>
      <w:r>
        <w:rPr>
          <w:rFonts w:ascii="Times New Roman" w:hAnsi="Times New Roman" w:cs="Times New Roman"/>
          <w:sz w:val="24"/>
          <w:szCs w:val="24"/>
        </w:rPr>
        <w:t xml:space="preserve"> a </w:t>
      </w:r>
      <w:r w:rsidR="009E6D57">
        <w:rPr>
          <w:rFonts w:ascii="Times New Roman" w:hAnsi="Times New Roman" w:cs="Times New Roman"/>
          <w:sz w:val="24"/>
          <w:szCs w:val="24"/>
        </w:rPr>
        <w:t xml:space="preserve">Bosnian TRC </w:t>
      </w:r>
      <w:r w:rsidR="00CF5FE9">
        <w:rPr>
          <w:rFonts w:ascii="Times New Roman" w:hAnsi="Times New Roman" w:cs="Times New Roman"/>
          <w:sz w:val="24"/>
          <w:szCs w:val="24"/>
        </w:rPr>
        <w:t xml:space="preserve">contributes to this literature by </w:t>
      </w:r>
      <w:r>
        <w:rPr>
          <w:rFonts w:ascii="Times New Roman" w:hAnsi="Times New Roman" w:cs="Times New Roman"/>
          <w:sz w:val="24"/>
          <w:szCs w:val="24"/>
        </w:rPr>
        <w:t>highlight</w:t>
      </w:r>
      <w:r w:rsidR="00CF5FE9">
        <w:rPr>
          <w:rFonts w:ascii="Times New Roman" w:hAnsi="Times New Roman" w:cs="Times New Roman"/>
          <w:sz w:val="24"/>
          <w:szCs w:val="24"/>
        </w:rPr>
        <w:t>ing</w:t>
      </w:r>
      <w:r>
        <w:rPr>
          <w:rFonts w:ascii="Times New Roman" w:hAnsi="Times New Roman" w:cs="Times New Roman"/>
          <w:sz w:val="24"/>
          <w:szCs w:val="24"/>
        </w:rPr>
        <w:t xml:space="preserve"> a different problem. By analysing </w:t>
      </w:r>
      <w:r w:rsidR="00535FDA">
        <w:rPr>
          <w:rFonts w:ascii="Times New Roman" w:hAnsi="Times New Roman" w:cs="Times New Roman"/>
          <w:sz w:val="24"/>
          <w:szCs w:val="24"/>
        </w:rPr>
        <w:t>the</w:t>
      </w:r>
      <w:r>
        <w:rPr>
          <w:rFonts w:ascii="Times New Roman" w:hAnsi="Times New Roman" w:cs="Times New Roman"/>
          <w:sz w:val="24"/>
          <w:szCs w:val="24"/>
        </w:rPr>
        <w:t xml:space="preserve"> rationale</w:t>
      </w:r>
      <w:r w:rsidR="00535FDA">
        <w:rPr>
          <w:rFonts w:ascii="Times New Roman" w:hAnsi="Times New Roman" w:cs="Times New Roman"/>
          <w:sz w:val="24"/>
          <w:szCs w:val="24"/>
        </w:rPr>
        <w:t xml:space="preserve"> for a Bosnian TRC</w:t>
      </w:r>
      <w:r>
        <w:rPr>
          <w:rFonts w:ascii="Times New Roman" w:hAnsi="Times New Roman" w:cs="Times New Roman"/>
          <w:sz w:val="24"/>
          <w:szCs w:val="24"/>
        </w:rPr>
        <w:t>, the processes by which it was</w:t>
      </w:r>
      <w:r w:rsidR="009E6D57">
        <w:rPr>
          <w:rFonts w:ascii="Times New Roman" w:hAnsi="Times New Roman" w:cs="Times New Roman"/>
          <w:sz w:val="24"/>
          <w:szCs w:val="24"/>
        </w:rPr>
        <w:t xml:space="preserve"> pursued over </w:t>
      </w:r>
      <w:r w:rsidR="008D7316">
        <w:rPr>
          <w:rFonts w:ascii="Times New Roman" w:hAnsi="Times New Roman" w:cs="Times New Roman"/>
          <w:sz w:val="24"/>
          <w:szCs w:val="24"/>
        </w:rPr>
        <w:t>nearly a decade</w:t>
      </w:r>
      <w:r>
        <w:rPr>
          <w:rFonts w:ascii="Times New Roman" w:hAnsi="Times New Roman" w:cs="Times New Roman"/>
          <w:sz w:val="24"/>
          <w:szCs w:val="24"/>
        </w:rPr>
        <w:t xml:space="preserve">, and the obstacles it faced both on the international and domestic levels, </w:t>
      </w:r>
      <w:r w:rsidR="00535FDA">
        <w:rPr>
          <w:rFonts w:ascii="Times New Roman" w:hAnsi="Times New Roman" w:cs="Times New Roman"/>
          <w:sz w:val="24"/>
          <w:szCs w:val="24"/>
        </w:rPr>
        <w:t xml:space="preserve">this article </w:t>
      </w:r>
      <w:r w:rsidR="00D37CD9">
        <w:rPr>
          <w:rFonts w:ascii="Times New Roman" w:hAnsi="Times New Roman" w:cs="Times New Roman"/>
          <w:sz w:val="24"/>
          <w:szCs w:val="24"/>
        </w:rPr>
        <w:t>sought to</w:t>
      </w:r>
      <w:r w:rsidR="00535FDA">
        <w:rPr>
          <w:rFonts w:ascii="Times New Roman" w:hAnsi="Times New Roman" w:cs="Times New Roman"/>
          <w:sz w:val="24"/>
          <w:szCs w:val="24"/>
        </w:rPr>
        <w:t xml:space="preserve"> show</w:t>
      </w:r>
      <w:r>
        <w:rPr>
          <w:rFonts w:ascii="Times New Roman" w:hAnsi="Times New Roman" w:cs="Times New Roman"/>
          <w:sz w:val="24"/>
          <w:szCs w:val="24"/>
        </w:rPr>
        <w:t xml:space="preserve"> how even the very first step of creating a truth commission can fail</w:t>
      </w:r>
      <w:r w:rsidR="00535FDA">
        <w:rPr>
          <w:rFonts w:ascii="Times New Roman" w:hAnsi="Times New Roman" w:cs="Times New Roman"/>
          <w:sz w:val="24"/>
          <w:szCs w:val="24"/>
        </w:rPr>
        <w:t xml:space="preserve"> despite the considerable efforts of its proponents</w:t>
      </w:r>
      <w:r>
        <w:rPr>
          <w:rFonts w:ascii="Times New Roman" w:hAnsi="Times New Roman" w:cs="Times New Roman"/>
          <w:sz w:val="24"/>
          <w:szCs w:val="24"/>
        </w:rPr>
        <w:t>.</w:t>
      </w:r>
      <w:r w:rsidR="009E6D57">
        <w:rPr>
          <w:rFonts w:ascii="Times New Roman" w:hAnsi="Times New Roman" w:cs="Times New Roman"/>
          <w:sz w:val="24"/>
          <w:szCs w:val="24"/>
        </w:rPr>
        <w:t xml:space="preserve"> </w:t>
      </w:r>
      <w:r w:rsidR="005373C5">
        <w:rPr>
          <w:rFonts w:ascii="Times New Roman" w:hAnsi="Times New Roman" w:cs="Times New Roman"/>
          <w:sz w:val="24"/>
          <w:szCs w:val="24"/>
        </w:rPr>
        <w:t>As truth commission</w:t>
      </w:r>
      <w:r w:rsidR="00535FDA">
        <w:rPr>
          <w:rFonts w:ascii="Times New Roman" w:hAnsi="Times New Roman" w:cs="Times New Roman"/>
          <w:sz w:val="24"/>
          <w:szCs w:val="24"/>
        </w:rPr>
        <w:t>s</w:t>
      </w:r>
      <w:r w:rsidR="005373C5">
        <w:rPr>
          <w:rFonts w:ascii="Times New Roman" w:hAnsi="Times New Roman" w:cs="Times New Roman"/>
          <w:sz w:val="24"/>
          <w:szCs w:val="24"/>
        </w:rPr>
        <w:t xml:space="preserve"> </w:t>
      </w:r>
      <w:r w:rsidR="00535FDA">
        <w:rPr>
          <w:rFonts w:ascii="Times New Roman" w:hAnsi="Times New Roman" w:cs="Times New Roman"/>
          <w:sz w:val="24"/>
          <w:szCs w:val="24"/>
        </w:rPr>
        <w:t>are increasingly being envisaged in a variety of conflict and post-conflict settings</w:t>
      </w:r>
      <w:r w:rsidR="005373C5">
        <w:rPr>
          <w:rFonts w:ascii="Times New Roman" w:hAnsi="Times New Roman" w:cs="Times New Roman"/>
          <w:sz w:val="24"/>
          <w:szCs w:val="24"/>
        </w:rPr>
        <w:t xml:space="preserve">, Bosnia’s experience may </w:t>
      </w:r>
      <w:r w:rsidR="00AE4CF4">
        <w:rPr>
          <w:rFonts w:ascii="Times New Roman" w:hAnsi="Times New Roman" w:cs="Times New Roman"/>
          <w:sz w:val="24"/>
          <w:szCs w:val="24"/>
        </w:rPr>
        <w:t>offer</w:t>
      </w:r>
      <w:r w:rsidR="005373C5">
        <w:rPr>
          <w:rFonts w:ascii="Times New Roman" w:hAnsi="Times New Roman" w:cs="Times New Roman"/>
          <w:sz w:val="24"/>
          <w:szCs w:val="24"/>
        </w:rPr>
        <w:t xml:space="preserve"> some broader lessons for other countries embarking on similar projects</w:t>
      </w:r>
      <w:r w:rsidR="005B19C9">
        <w:rPr>
          <w:rFonts w:ascii="Times New Roman" w:hAnsi="Times New Roman" w:cs="Times New Roman"/>
          <w:sz w:val="24"/>
          <w:szCs w:val="24"/>
        </w:rPr>
        <w:t>, as well as</w:t>
      </w:r>
      <w:r w:rsidR="009F7EBF">
        <w:rPr>
          <w:rFonts w:ascii="Times New Roman" w:hAnsi="Times New Roman" w:cs="Times New Roman"/>
          <w:sz w:val="24"/>
          <w:szCs w:val="24"/>
        </w:rPr>
        <w:t xml:space="preserve"> avenues for further research in transitional justice</w:t>
      </w:r>
      <w:r w:rsidR="005373C5">
        <w:rPr>
          <w:rFonts w:ascii="Times New Roman" w:hAnsi="Times New Roman" w:cs="Times New Roman"/>
          <w:sz w:val="24"/>
          <w:szCs w:val="24"/>
        </w:rPr>
        <w:t xml:space="preserve">. </w:t>
      </w:r>
    </w:p>
    <w:p w:rsidR="00535FDA" w:rsidRDefault="00261898" w:rsidP="004E79F9">
      <w:pPr>
        <w:spacing w:line="360" w:lineRule="auto"/>
        <w:ind w:firstLine="720"/>
        <w:rPr>
          <w:rFonts w:ascii="Times New Roman" w:hAnsi="Times New Roman" w:cs="Times New Roman"/>
          <w:sz w:val="24"/>
          <w:szCs w:val="24"/>
        </w:rPr>
      </w:pPr>
      <w:r>
        <w:rPr>
          <w:rFonts w:ascii="Times New Roman" w:hAnsi="Times New Roman" w:cs="Times New Roman"/>
          <w:sz w:val="24"/>
          <w:szCs w:val="24"/>
        </w:rPr>
        <w:t>Several</w:t>
      </w:r>
      <w:r w:rsidR="004E79F9">
        <w:rPr>
          <w:rFonts w:ascii="Times New Roman" w:hAnsi="Times New Roman" w:cs="Times New Roman"/>
          <w:sz w:val="24"/>
          <w:szCs w:val="24"/>
        </w:rPr>
        <w:t xml:space="preserve"> conclusions emerge from this </w:t>
      </w:r>
      <w:r w:rsidR="0019077E">
        <w:rPr>
          <w:rFonts w:ascii="Times New Roman" w:hAnsi="Times New Roman" w:cs="Times New Roman"/>
          <w:sz w:val="24"/>
          <w:szCs w:val="24"/>
        </w:rPr>
        <w:t>analysis</w:t>
      </w:r>
      <w:r w:rsidR="004E79F9">
        <w:rPr>
          <w:rFonts w:ascii="Times New Roman" w:hAnsi="Times New Roman" w:cs="Times New Roman"/>
          <w:sz w:val="24"/>
          <w:szCs w:val="24"/>
        </w:rPr>
        <w:t xml:space="preserve"> of the </w:t>
      </w:r>
      <w:r w:rsidR="004533A9">
        <w:rPr>
          <w:rFonts w:ascii="Times New Roman" w:hAnsi="Times New Roman" w:cs="Times New Roman"/>
          <w:sz w:val="24"/>
          <w:szCs w:val="24"/>
        </w:rPr>
        <w:t>failed attempts</w:t>
      </w:r>
      <w:r w:rsidR="004E79F9">
        <w:rPr>
          <w:rFonts w:ascii="Times New Roman" w:hAnsi="Times New Roman" w:cs="Times New Roman"/>
          <w:sz w:val="24"/>
          <w:szCs w:val="24"/>
        </w:rPr>
        <w:t xml:space="preserve"> to create a Bosnian TRC. First, the development of </w:t>
      </w:r>
      <w:r w:rsidR="00453D58">
        <w:rPr>
          <w:rFonts w:ascii="Times New Roman" w:hAnsi="Times New Roman" w:cs="Times New Roman"/>
          <w:sz w:val="24"/>
          <w:szCs w:val="24"/>
        </w:rPr>
        <w:t>th</w:t>
      </w:r>
      <w:r w:rsidR="00364842">
        <w:rPr>
          <w:rFonts w:ascii="Times New Roman" w:hAnsi="Times New Roman" w:cs="Times New Roman"/>
          <w:sz w:val="24"/>
          <w:szCs w:val="24"/>
        </w:rPr>
        <w:t>e TRC</w:t>
      </w:r>
      <w:r w:rsidR="00453D58">
        <w:rPr>
          <w:rFonts w:ascii="Times New Roman" w:hAnsi="Times New Roman" w:cs="Times New Roman"/>
          <w:sz w:val="24"/>
          <w:szCs w:val="24"/>
        </w:rPr>
        <w:t xml:space="preserve"> </w:t>
      </w:r>
      <w:r w:rsidR="004E79F9">
        <w:rPr>
          <w:rFonts w:ascii="Times New Roman" w:hAnsi="Times New Roman" w:cs="Times New Roman"/>
          <w:sz w:val="24"/>
          <w:szCs w:val="24"/>
        </w:rPr>
        <w:t>initiative</w:t>
      </w:r>
      <w:r w:rsidR="00DE0B5B">
        <w:rPr>
          <w:rFonts w:ascii="Times New Roman" w:hAnsi="Times New Roman" w:cs="Times New Roman"/>
          <w:sz w:val="24"/>
          <w:szCs w:val="24"/>
        </w:rPr>
        <w:t>—</w:t>
      </w:r>
      <w:r w:rsidR="004E79F9">
        <w:rPr>
          <w:rFonts w:ascii="Times New Roman" w:hAnsi="Times New Roman" w:cs="Times New Roman"/>
          <w:sz w:val="24"/>
          <w:szCs w:val="24"/>
        </w:rPr>
        <w:t>from</w:t>
      </w:r>
      <w:r w:rsidR="00DE0B5B">
        <w:rPr>
          <w:rFonts w:ascii="Times New Roman" w:hAnsi="Times New Roman" w:cs="Times New Roman"/>
          <w:sz w:val="24"/>
          <w:szCs w:val="24"/>
        </w:rPr>
        <w:t xml:space="preserve"> </w:t>
      </w:r>
      <w:r w:rsidR="00453D58">
        <w:rPr>
          <w:rFonts w:ascii="Times New Roman" w:hAnsi="Times New Roman" w:cs="Times New Roman"/>
          <w:sz w:val="24"/>
          <w:szCs w:val="24"/>
        </w:rPr>
        <w:t>its</w:t>
      </w:r>
      <w:r w:rsidR="004E79F9">
        <w:rPr>
          <w:rFonts w:ascii="Times New Roman" w:hAnsi="Times New Roman" w:cs="Times New Roman"/>
          <w:sz w:val="24"/>
          <w:szCs w:val="24"/>
        </w:rPr>
        <w:t xml:space="preserve"> initial conception to </w:t>
      </w:r>
      <w:r w:rsidR="00453D58">
        <w:rPr>
          <w:rFonts w:ascii="Times New Roman" w:hAnsi="Times New Roman" w:cs="Times New Roman"/>
          <w:sz w:val="24"/>
          <w:szCs w:val="24"/>
        </w:rPr>
        <w:t>its</w:t>
      </w:r>
      <w:r w:rsidR="004E79F9">
        <w:rPr>
          <w:rFonts w:ascii="Times New Roman" w:hAnsi="Times New Roman" w:cs="Times New Roman"/>
          <w:sz w:val="24"/>
          <w:szCs w:val="24"/>
        </w:rPr>
        <w:t xml:space="preserve"> implementation</w:t>
      </w:r>
      <w:r w:rsidR="00DE0B5B">
        <w:rPr>
          <w:rFonts w:ascii="Times New Roman" w:hAnsi="Times New Roman" w:cs="Times New Roman"/>
          <w:sz w:val="24"/>
          <w:szCs w:val="24"/>
        </w:rPr>
        <w:t>—</w:t>
      </w:r>
      <w:r w:rsidR="004E79F9">
        <w:rPr>
          <w:rFonts w:ascii="Times New Roman" w:hAnsi="Times New Roman" w:cs="Times New Roman"/>
          <w:sz w:val="24"/>
          <w:szCs w:val="24"/>
        </w:rPr>
        <w:t>w</w:t>
      </w:r>
      <w:r w:rsidR="008D7316">
        <w:rPr>
          <w:rFonts w:ascii="Times New Roman" w:hAnsi="Times New Roman" w:cs="Times New Roman"/>
          <w:sz w:val="24"/>
          <w:szCs w:val="24"/>
        </w:rPr>
        <w:t>as</w:t>
      </w:r>
      <w:r w:rsidR="00DE0B5B">
        <w:rPr>
          <w:rFonts w:ascii="Times New Roman" w:hAnsi="Times New Roman" w:cs="Times New Roman"/>
          <w:sz w:val="24"/>
          <w:szCs w:val="24"/>
        </w:rPr>
        <w:t xml:space="preserve"> </w:t>
      </w:r>
      <w:r w:rsidR="004E79F9">
        <w:rPr>
          <w:rFonts w:ascii="Times New Roman" w:hAnsi="Times New Roman" w:cs="Times New Roman"/>
          <w:sz w:val="24"/>
          <w:szCs w:val="24"/>
        </w:rPr>
        <w:t xml:space="preserve">characterized by an extremely high degree of </w:t>
      </w:r>
      <w:r w:rsidR="001B2A3D">
        <w:rPr>
          <w:rFonts w:ascii="Times New Roman" w:hAnsi="Times New Roman" w:cs="Times New Roman"/>
          <w:sz w:val="24"/>
          <w:szCs w:val="24"/>
        </w:rPr>
        <w:t>external intervention</w:t>
      </w:r>
      <w:r w:rsidR="00AE4CF4">
        <w:rPr>
          <w:rFonts w:ascii="Times New Roman" w:hAnsi="Times New Roman" w:cs="Times New Roman"/>
          <w:sz w:val="24"/>
          <w:szCs w:val="24"/>
        </w:rPr>
        <w:t xml:space="preserve">. </w:t>
      </w:r>
      <w:r w:rsidR="000D1E2E">
        <w:rPr>
          <w:rFonts w:ascii="Times New Roman" w:hAnsi="Times New Roman" w:cs="Times New Roman"/>
          <w:sz w:val="24"/>
          <w:szCs w:val="24"/>
        </w:rPr>
        <w:t>Its trajectory</w:t>
      </w:r>
      <w:r w:rsidR="00833E5F">
        <w:rPr>
          <w:rFonts w:ascii="Times New Roman" w:hAnsi="Times New Roman" w:cs="Times New Roman"/>
          <w:sz w:val="24"/>
          <w:szCs w:val="24"/>
        </w:rPr>
        <w:t xml:space="preserve"> shows</w:t>
      </w:r>
      <w:r w:rsidR="004E79F9">
        <w:rPr>
          <w:rFonts w:ascii="Times New Roman" w:hAnsi="Times New Roman" w:cs="Times New Roman"/>
          <w:sz w:val="24"/>
          <w:szCs w:val="24"/>
        </w:rPr>
        <w:t xml:space="preserve"> how international involvement in divided societies has complex and at times paradoxical </w:t>
      </w:r>
      <w:r w:rsidR="00E149A8">
        <w:rPr>
          <w:rFonts w:ascii="Times New Roman" w:hAnsi="Times New Roman" w:cs="Times New Roman"/>
          <w:sz w:val="24"/>
          <w:szCs w:val="24"/>
        </w:rPr>
        <w:t>outcom</w:t>
      </w:r>
      <w:r w:rsidR="004E79F9">
        <w:rPr>
          <w:rFonts w:ascii="Times New Roman" w:hAnsi="Times New Roman" w:cs="Times New Roman"/>
          <w:sz w:val="24"/>
          <w:szCs w:val="24"/>
        </w:rPr>
        <w:t>es</w:t>
      </w:r>
      <w:r w:rsidR="004533A9">
        <w:rPr>
          <w:rFonts w:ascii="Times New Roman" w:hAnsi="Times New Roman" w:cs="Times New Roman"/>
          <w:sz w:val="24"/>
          <w:szCs w:val="24"/>
        </w:rPr>
        <w:t>: i</w:t>
      </w:r>
      <w:r w:rsidR="004E79F9">
        <w:rPr>
          <w:rFonts w:ascii="Times New Roman" w:hAnsi="Times New Roman" w:cs="Times New Roman"/>
          <w:sz w:val="24"/>
          <w:szCs w:val="24"/>
        </w:rPr>
        <w:t xml:space="preserve">t stimulates and drives processes of </w:t>
      </w:r>
      <w:r w:rsidR="004533A9">
        <w:rPr>
          <w:rFonts w:ascii="Times New Roman" w:hAnsi="Times New Roman" w:cs="Times New Roman"/>
          <w:sz w:val="24"/>
          <w:szCs w:val="24"/>
        </w:rPr>
        <w:t>transitional justice</w:t>
      </w:r>
      <w:r w:rsidR="004E79F9">
        <w:rPr>
          <w:rFonts w:ascii="Times New Roman" w:hAnsi="Times New Roman" w:cs="Times New Roman"/>
          <w:sz w:val="24"/>
          <w:szCs w:val="24"/>
        </w:rPr>
        <w:t xml:space="preserve"> which might otherwise not take place, yet, at the same time</w:t>
      </w:r>
      <w:r w:rsidR="00DE0B5B">
        <w:rPr>
          <w:rFonts w:ascii="Times New Roman" w:hAnsi="Times New Roman" w:cs="Times New Roman"/>
          <w:sz w:val="24"/>
          <w:szCs w:val="24"/>
        </w:rPr>
        <w:t>,</w:t>
      </w:r>
      <w:r w:rsidR="004E79F9">
        <w:rPr>
          <w:rFonts w:ascii="Times New Roman" w:hAnsi="Times New Roman" w:cs="Times New Roman"/>
          <w:sz w:val="24"/>
          <w:szCs w:val="24"/>
        </w:rPr>
        <w:t xml:space="preserve"> it also </w:t>
      </w:r>
      <w:r w:rsidR="00D84DCA">
        <w:rPr>
          <w:rFonts w:ascii="Times New Roman" w:hAnsi="Times New Roman" w:cs="Times New Roman"/>
          <w:sz w:val="24"/>
          <w:szCs w:val="24"/>
        </w:rPr>
        <w:t xml:space="preserve">has </w:t>
      </w:r>
      <w:r w:rsidR="00FA4FB6">
        <w:rPr>
          <w:rFonts w:ascii="Times New Roman" w:hAnsi="Times New Roman" w:cs="Times New Roman"/>
          <w:sz w:val="24"/>
          <w:szCs w:val="24"/>
        </w:rPr>
        <w:t xml:space="preserve">the counterproductive </w:t>
      </w:r>
      <w:r w:rsidR="004E79F9">
        <w:rPr>
          <w:rFonts w:ascii="Times New Roman" w:hAnsi="Times New Roman" w:cs="Times New Roman"/>
          <w:sz w:val="24"/>
          <w:szCs w:val="24"/>
        </w:rPr>
        <w:t>consequence of limiting the legitimacy of such projects and c</w:t>
      </w:r>
      <w:r w:rsidR="003F739E">
        <w:rPr>
          <w:rFonts w:ascii="Times New Roman" w:hAnsi="Times New Roman" w:cs="Times New Roman"/>
          <w:sz w:val="24"/>
          <w:szCs w:val="24"/>
        </w:rPr>
        <w:t>reating situations of dependence</w:t>
      </w:r>
      <w:r w:rsidR="004E79F9">
        <w:rPr>
          <w:rFonts w:ascii="Times New Roman" w:hAnsi="Times New Roman" w:cs="Times New Roman"/>
          <w:sz w:val="24"/>
          <w:szCs w:val="24"/>
        </w:rPr>
        <w:t>.</w:t>
      </w:r>
      <w:r w:rsidR="00907EFE">
        <w:rPr>
          <w:rFonts w:ascii="Times New Roman" w:hAnsi="Times New Roman" w:cs="Times New Roman"/>
          <w:sz w:val="24"/>
          <w:szCs w:val="24"/>
        </w:rPr>
        <w:t xml:space="preserve"> In Bosnia, international actors sought to solve this problem by </w:t>
      </w:r>
      <w:r w:rsidR="00875694">
        <w:rPr>
          <w:rFonts w:ascii="Times New Roman" w:hAnsi="Times New Roman" w:cs="Times New Roman"/>
          <w:sz w:val="24"/>
          <w:szCs w:val="24"/>
        </w:rPr>
        <w:t>involving local actors</w:t>
      </w:r>
      <w:r w:rsidR="00907EFE">
        <w:rPr>
          <w:rFonts w:ascii="Times New Roman" w:hAnsi="Times New Roman" w:cs="Times New Roman"/>
          <w:sz w:val="24"/>
          <w:szCs w:val="24"/>
        </w:rPr>
        <w:t xml:space="preserve"> while preventing nationalist politicians from </w:t>
      </w:r>
      <w:r w:rsidR="0019077E">
        <w:rPr>
          <w:rFonts w:ascii="Times New Roman" w:hAnsi="Times New Roman" w:cs="Times New Roman"/>
          <w:sz w:val="24"/>
          <w:szCs w:val="24"/>
        </w:rPr>
        <w:t>‘hijacking’</w:t>
      </w:r>
      <w:r w:rsidR="00907EFE">
        <w:rPr>
          <w:rFonts w:ascii="Times New Roman" w:hAnsi="Times New Roman" w:cs="Times New Roman"/>
          <w:sz w:val="24"/>
          <w:szCs w:val="24"/>
        </w:rPr>
        <w:t xml:space="preserve"> the TRC project.</w:t>
      </w:r>
      <w:r w:rsidR="0019077E">
        <w:rPr>
          <w:rStyle w:val="FootnoteReference"/>
          <w:rFonts w:ascii="Times New Roman" w:hAnsi="Times New Roman" w:cs="Times New Roman"/>
          <w:sz w:val="24"/>
          <w:szCs w:val="24"/>
        </w:rPr>
        <w:footnoteReference w:id="93"/>
      </w:r>
      <w:r w:rsidR="00907EFE">
        <w:rPr>
          <w:rFonts w:ascii="Times New Roman" w:hAnsi="Times New Roman" w:cs="Times New Roman"/>
          <w:sz w:val="24"/>
          <w:szCs w:val="24"/>
        </w:rPr>
        <w:t xml:space="preserve"> However, this </w:t>
      </w:r>
      <w:r w:rsidR="0019077E">
        <w:rPr>
          <w:rFonts w:ascii="Times New Roman" w:hAnsi="Times New Roman" w:cs="Times New Roman"/>
          <w:sz w:val="24"/>
          <w:szCs w:val="24"/>
        </w:rPr>
        <w:t>dilemma</w:t>
      </w:r>
      <w:r w:rsidR="00907EFE">
        <w:rPr>
          <w:rFonts w:ascii="Times New Roman" w:hAnsi="Times New Roman" w:cs="Times New Roman"/>
          <w:sz w:val="24"/>
          <w:szCs w:val="24"/>
        </w:rPr>
        <w:t xml:space="preserve"> was never resolved and the TRC </w:t>
      </w:r>
      <w:r w:rsidR="003F739E">
        <w:rPr>
          <w:rFonts w:ascii="Times New Roman" w:hAnsi="Times New Roman" w:cs="Times New Roman"/>
          <w:sz w:val="24"/>
          <w:szCs w:val="24"/>
        </w:rPr>
        <w:t>project continued to rely</w:t>
      </w:r>
      <w:r w:rsidR="00907EFE">
        <w:rPr>
          <w:rFonts w:ascii="Times New Roman" w:hAnsi="Times New Roman" w:cs="Times New Roman"/>
          <w:sz w:val="24"/>
          <w:szCs w:val="24"/>
        </w:rPr>
        <w:t xml:space="preserve"> on its international promoters throughout. </w:t>
      </w:r>
    </w:p>
    <w:p w:rsidR="00A23AD1" w:rsidRDefault="00DC0878" w:rsidP="004E79F9">
      <w:pPr>
        <w:spacing w:line="360" w:lineRule="auto"/>
        <w:ind w:firstLine="720"/>
        <w:rPr>
          <w:rFonts w:ascii="Times New Roman" w:hAnsi="Times New Roman" w:cs="Times New Roman"/>
          <w:sz w:val="24"/>
          <w:szCs w:val="24"/>
        </w:rPr>
      </w:pPr>
      <w:r>
        <w:rPr>
          <w:rFonts w:ascii="Times New Roman" w:hAnsi="Times New Roman" w:cs="Times New Roman"/>
          <w:sz w:val="24"/>
          <w:szCs w:val="24"/>
        </w:rPr>
        <w:t>A second, related, conclusion is that t</w:t>
      </w:r>
      <w:r w:rsidR="00A23AD1">
        <w:rPr>
          <w:rFonts w:ascii="Times New Roman" w:hAnsi="Times New Roman" w:cs="Times New Roman"/>
          <w:sz w:val="24"/>
          <w:szCs w:val="24"/>
        </w:rPr>
        <w:t>he failure of the Bosnian TRC initiative confirms the broader point made by some transitional justice scholars that</w:t>
      </w:r>
      <w:r w:rsidR="005D59DA">
        <w:rPr>
          <w:rFonts w:ascii="Times New Roman" w:hAnsi="Times New Roman" w:cs="Times New Roman"/>
          <w:sz w:val="24"/>
          <w:szCs w:val="24"/>
        </w:rPr>
        <w:t xml:space="preserve"> national</w:t>
      </w:r>
      <w:r w:rsidR="00A23AD1">
        <w:rPr>
          <w:rFonts w:ascii="Times New Roman" w:hAnsi="Times New Roman" w:cs="Times New Roman"/>
          <w:sz w:val="24"/>
          <w:szCs w:val="24"/>
        </w:rPr>
        <w:t xml:space="preserve"> truth commissions are inherently political projects—related, both ideologically and practically, to promoting the legitimacy of new political regimes and their broader state- and nation-building goals.</w:t>
      </w:r>
      <w:r w:rsidR="00A23AD1">
        <w:rPr>
          <w:rStyle w:val="FootnoteReference"/>
          <w:rFonts w:ascii="Times New Roman" w:hAnsi="Times New Roman" w:cs="Times New Roman"/>
          <w:sz w:val="24"/>
          <w:szCs w:val="24"/>
        </w:rPr>
        <w:footnoteReference w:id="94"/>
      </w:r>
      <w:r w:rsidR="00A23AD1">
        <w:rPr>
          <w:rFonts w:ascii="Times New Roman" w:hAnsi="Times New Roman" w:cs="Times New Roman"/>
          <w:sz w:val="24"/>
          <w:szCs w:val="24"/>
        </w:rPr>
        <w:t xml:space="preserve"> When</w:t>
      </w:r>
      <w:r w:rsidR="00E149A8">
        <w:rPr>
          <w:rFonts w:ascii="Times New Roman" w:hAnsi="Times New Roman" w:cs="Times New Roman"/>
          <w:sz w:val="24"/>
          <w:szCs w:val="24"/>
        </w:rPr>
        <w:t>, as in Bosnia,</w:t>
      </w:r>
      <w:r w:rsidR="00A23AD1">
        <w:rPr>
          <w:rFonts w:ascii="Times New Roman" w:hAnsi="Times New Roman" w:cs="Times New Roman"/>
          <w:sz w:val="24"/>
          <w:szCs w:val="24"/>
        </w:rPr>
        <w:t xml:space="preserve"> the state on whose behalf the truth commission is being created is itself contested, and the most powerful political actors lack commitment to the v</w:t>
      </w:r>
      <w:r w:rsidR="00E149A8">
        <w:rPr>
          <w:rFonts w:ascii="Times New Roman" w:hAnsi="Times New Roman" w:cs="Times New Roman"/>
          <w:sz w:val="24"/>
          <w:szCs w:val="24"/>
        </w:rPr>
        <w:t xml:space="preserve">alues of a multi-ethnic society, </w:t>
      </w:r>
      <w:r w:rsidR="00A23AD1">
        <w:rPr>
          <w:rFonts w:ascii="Times New Roman" w:hAnsi="Times New Roman" w:cs="Times New Roman"/>
          <w:sz w:val="24"/>
          <w:szCs w:val="24"/>
        </w:rPr>
        <w:t>the chances of success</w:t>
      </w:r>
      <w:r w:rsidR="00E149A8">
        <w:rPr>
          <w:rFonts w:ascii="Times New Roman" w:hAnsi="Times New Roman" w:cs="Times New Roman"/>
          <w:sz w:val="24"/>
          <w:szCs w:val="24"/>
        </w:rPr>
        <w:t xml:space="preserve"> for such an initiative are low</w:t>
      </w:r>
      <w:r w:rsidR="00A23AD1">
        <w:rPr>
          <w:rFonts w:ascii="Times New Roman" w:hAnsi="Times New Roman" w:cs="Times New Roman"/>
          <w:sz w:val="24"/>
          <w:szCs w:val="24"/>
        </w:rPr>
        <w:t xml:space="preserve"> regardless </w:t>
      </w:r>
      <w:r w:rsidR="00D201A9">
        <w:rPr>
          <w:rFonts w:ascii="Times New Roman" w:hAnsi="Times New Roman" w:cs="Times New Roman"/>
          <w:sz w:val="24"/>
          <w:szCs w:val="24"/>
        </w:rPr>
        <w:t>of</w:t>
      </w:r>
      <w:r w:rsidR="00A23AD1">
        <w:rPr>
          <w:rFonts w:ascii="Times New Roman" w:hAnsi="Times New Roman" w:cs="Times New Roman"/>
          <w:sz w:val="24"/>
          <w:szCs w:val="24"/>
        </w:rPr>
        <w:t xml:space="preserve"> international engagement. In divided states, a national truth commission can materialize as a legitimate force for change only as part of a </w:t>
      </w:r>
      <w:r w:rsidR="0019077E">
        <w:rPr>
          <w:rFonts w:ascii="Times New Roman" w:hAnsi="Times New Roman" w:cs="Times New Roman"/>
          <w:sz w:val="24"/>
          <w:szCs w:val="24"/>
        </w:rPr>
        <w:t>wider</w:t>
      </w:r>
      <w:r w:rsidR="00A23AD1">
        <w:rPr>
          <w:rFonts w:ascii="Times New Roman" w:hAnsi="Times New Roman" w:cs="Times New Roman"/>
          <w:sz w:val="24"/>
          <w:szCs w:val="24"/>
        </w:rPr>
        <w:t xml:space="preserve"> agenda pursued by </w:t>
      </w:r>
      <w:r w:rsidR="005D59DA">
        <w:rPr>
          <w:rFonts w:ascii="Times New Roman" w:hAnsi="Times New Roman" w:cs="Times New Roman"/>
          <w:sz w:val="24"/>
          <w:szCs w:val="24"/>
        </w:rPr>
        <w:t>leaders</w:t>
      </w:r>
      <w:r w:rsidR="00A23AD1">
        <w:rPr>
          <w:rFonts w:ascii="Times New Roman" w:hAnsi="Times New Roman" w:cs="Times New Roman"/>
          <w:sz w:val="24"/>
          <w:szCs w:val="24"/>
        </w:rPr>
        <w:t xml:space="preserve"> </w:t>
      </w:r>
      <w:r w:rsidR="00A23AD1">
        <w:rPr>
          <w:rFonts w:ascii="Times New Roman" w:hAnsi="Times New Roman" w:cs="Times New Roman"/>
          <w:sz w:val="24"/>
          <w:szCs w:val="24"/>
        </w:rPr>
        <w:lastRenderedPageBreak/>
        <w:t xml:space="preserve">who genuinely </w:t>
      </w:r>
      <w:r w:rsidR="00875694">
        <w:rPr>
          <w:rFonts w:ascii="Times New Roman" w:hAnsi="Times New Roman" w:cs="Times New Roman"/>
          <w:sz w:val="24"/>
          <w:szCs w:val="24"/>
        </w:rPr>
        <w:t>embrace</w:t>
      </w:r>
      <w:r w:rsidR="00A23AD1">
        <w:rPr>
          <w:rFonts w:ascii="Times New Roman" w:hAnsi="Times New Roman" w:cs="Times New Roman"/>
          <w:sz w:val="24"/>
          <w:szCs w:val="24"/>
        </w:rPr>
        <w:t xml:space="preserve"> social and political reconstruction. </w:t>
      </w:r>
      <w:r w:rsidR="001B0E34">
        <w:rPr>
          <w:rFonts w:ascii="Times New Roman" w:hAnsi="Times New Roman" w:cs="Times New Roman"/>
          <w:sz w:val="24"/>
          <w:szCs w:val="24"/>
        </w:rPr>
        <w:t>E</w:t>
      </w:r>
      <w:r w:rsidR="00A23AD1">
        <w:rPr>
          <w:rFonts w:ascii="Times New Roman" w:hAnsi="Times New Roman" w:cs="Times New Roman"/>
          <w:sz w:val="24"/>
          <w:szCs w:val="24"/>
        </w:rPr>
        <w:t>xternal actors can support such individuals, but they cannot replace them.</w:t>
      </w:r>
    </w:p>
    <w:p w:rsidR="00453D58" w:rsidRDefault="00E149A8" w:rsidP="006675A3">
      <w:pPr>
        <w:spacing w:line="360" w:lineRule="auto"/>
        <w:ind w:firstLine="720"/>
        <w:rPr>
          <w:rFonts w:ascii="Times New Roman" w:hAnsi="Times New Roman" w:cs="Times New Roman"/>
          <w:sz w:val="24"/>
          <w:szCs w:val="24"/>
        </w:rPr>
      </w:pPr>
      <w:r>
        <w:rPr>
          <w:rFonts w:ascii="Times New Roman" w:hAnsi="Times New Roman" w:cs="Times New Roman"/>
          <w:sz w:val="24"/>
          <w:szCs w:val="24"/>
        </w:rPr>
        <w:t>Third</w:t>
      </w:r>
      <w:r w:rsidR="007A0277">
        <w:rPr>
          <w:rFonts w:ascii="Times New Roman" w:hAnsi="Times New Roman" w:cs="Times New Roman"/>
          <w:sz w:val="24"/>
          <w:szCs w:val="24"/>
        </w:rPr>
        <w:t xml:space="preserve">, </w:t>
      </w:r>
      <w:r w:rsidR="0000457C">
        <w:rPr>
          <w:rFonts w:ascii="Times New Roman" w:hAnsi="Times New Roman" w:cs="Times New Roman"/>
          <w:sz w:val="24"/>
          <w:szCs w:val="24"/>
        </w:rPr>
        <w:t>th</w:t>
      </w:r>
      <w:r w:rsidR="001B2A3D">
        <w:rPr>
          <w:rFonts w:ascii="Times New Roman" w:hAnsi="Times New Roman" w:cs="Times New Roman"/>
          <w:sz w:val="24"/>
          <w:szCs w:val="24"/>
        </w:rPr>
        <w:t>is</w:t>
      </w:r>
      <w:r w:rsidR="0000457C">
        <w:rPr>
          <w:rFonts w:ascii="Times New Roman" w:hAnsi="Times New Roman" w:cs="Times New Roman"/>
          <w:sz w:val="24"/>
          <w:szCs w:val="24"/>
        </w:rPr>
        <w:t xml:space="preserve"> history of the </w:t>
      </w:r>
      <w:r w:rsidR="00CD13B4">
        <w:rPr>
          <w:rFonts w:ascii="Times New Roman" w:hAnsi="Times New Roman" w:cs="Times New Roman"/>
          <w:sz w:val="24"/>
          <w:szCs w:val="24"/>
        </w:rPr>
        <w:t xml:space="preserve">failed </w:t>
      </w:r>
      <w:r w:rsidR="0000457C">
        <w:rPr>
          <w:rFonts w:ascii="Times New Roman" w:hAnsi="Times New Roman" w:cs="Times New Roman"/>
          <w:sz w:val="24"/>
          <w:szCs w:val="24"/>
        </w:rPr>
        <w:t xml:space="preserve">Bosnian TRC </w:t>
      </w:r>
      <w:r w:rsidR="009A3E87">
        <w:rPr>
          <w:rFonts w:ascii="Times New Roman" w:hAnsi="Times New Roman" w:cs="Times New Roman"/>
          <w:sz w:val="24"/>
          <w:szCs w:val="24"/>
        </w:rPr>
        <w:t>highlights the importance of</w:t>
      </w:r>
      <w:r w:rsidR="00BC7346">
        <w:rPr>
          <w:rFonts w:ascii="Times New Roman" w:hAnsi="Times New Roman" w:cs="Times New Roman"/>
          <w:sz w:val="24"/>
          <w:szCs w:val="24"/>
        </w:rPr>
        <w:t xml:space="preserve"> </w:t>
      </w:r>
      <w:r w:rsidR="004C3D8F">
        <w:rPr>
          <w:rFonts w:ascii="Times New Roman" w:hAnsi="Times New Roman" w:cs="Times New Roman"/>
          <w:sz w:val="24"/>
          <w:szCs w:val="24"/>
        </w:rPr>
        <w:t>the</w:t>
      </w:r>
      <w:r w:rsidR="00BC7346">
        <w:rPr>
          <w:rFonts w:ascii="Times New Roman" w:hAnsi="Times New Roman" w:cs="Times New Roman"/>
          <w:sz w:val="24"/>
          <w:szCs w:val="24"/>
        </w:rPr>
        <w:t xml:space="preserve"> politics of civil society in transitional justice projects—the internal divisions and rivalries</w:t>
      </w:r>
      <w:r w:rsidR="004C3D8F">
        <w:rPr>
          <w:rFonts w:ascii="Times New Roman" w:hAnsi="Times New Roman" w:cs="Times New Roman"/>
          <w:sz w:val="24"/>
          <w:szCs w:val="24"/>
        </w:rPr>
        <w:t>, as well as</w:t>
      </w:r>
      <w:r w:rsidR="00BC7346">
        <w:rPr>
          <w:rFonts w:ascii="Times New Roman" w:hAnsi="Times New Roman" w:cs="Times New Roman"/>
          <w:sz w:val="24"/>
          <w:szCs w:val="24"/>
        </w:rPr>
        <w:t xml:space="preserve"> the different and often </w:t>
      </w:r>
      <w:r w:rsidR="00161945">
        <w:rPr>
          <w:rFonts w:ascii="Times New Roman" w:hAnsi="Times New Roman" w:cs="Times New Roman"/>
          <w:sz w:val="24"/>
          <w:szCs w:val="24"/>
        </w:rPr>
        <w:t>unreconciled</w:t>
      </w:r>
      <w:r w:rsidR="00BC7346">
        <w:rPr>
          <w:rFonts w:ascii="Times New Roman" w:hAnsi="Times New Roman" w:cs="Times New Roman"/>
          <w:sz w:val="24"/>
          <w:szCs w:val="24"/>
        </w:rPr>
        <w:t xml:space="preserve"> agendas </w:t>
      </w:r>
      <w:r w:rsidR="00F049F5">
        <w:rPr>
          <w:rFonts w:ascii="Times New Roman" w:hAnsi="Times New Roman" w:cs="Times New Roman"/>
          <w:sz w:val="24"/>
          <w:szCs w:val="24"/>
        </w:rPr>
        <w:t xml:space="preserve">and priorities </w:t>
      </w:r>
      <w:r w:rsidR="00BC7346">
        <w:rPr>
          <w:rFonts w:ascii="Times New Roman" w:hAnsi="Times New Roman" w:cs="Times New Roman"/>
          <w:sz w:val="24"/>
          <w:szCs w:val="24"/>
        </w:rPr>
        <w:t xml:space="preserve">of domestic NGOs and </w:t>
      </w:r>
      <w:r w:rsidR="00F049F5">
        <w:rPr>
          <w:rFonts w:ascii="Times New Roman" w:hAnsi="Times New Roman" w:cs="Times New Roman"/>
          <w:sz w:val="24"/>
          <w:szCs w:val="24"/>
        </w:rPr>
        <w:t xml:space="preserve">victim </w:t>
      </w:r>
      <w:r w:rsidR="00BC7346">
        <w:rPr>
          <w:rFonts w:ascii="Times New Roman" w:hAnsi="Times New Roman" w:cs="Times New Roman"/>
          <w:sz w:val="24"/>
          <w:szCs w:val="24"/>
        </w:rPr>
        <w:t xml:space="preserve">associations. </w:t>
      </w:r>
      <w:r w:rsidR="00CD13B4">
        <w:rPr>
          <w:rFonts w:ascii="Times New Roman" w:hAnsi="Times New Roman" w:cs="Times New Roman"/>
          <w:sz w:val="24"/>
          <w:szCs w:val="24"/>
        </w:rPr>
        <w:t xml:space="preserve">Externally </w:t>
      </w:r>
      <w:r w:rsidR="00F049F5">
        <w:rPr>
          <w:rFonts w:ascii="Times New Roman" w:hAnsi="Times New Roman" w:cs="Times New Roman"/>
          <w:sz w:val="24"/>
          <w:szCs w:val="24"/>
        </w:rPr>
        <w:t xml:space="preserve">funded and </w:t>
      </w:r>
      <w:r w:rsidR="00364842">
        <w:rPr>
          <w:rFonts w:ascii="Times New Roman" w:hAnsi="Times New Roman" w:cs="Times New Roman"/>
          <w:sz w:val="24"/>
          <w:szCs w:val="24"/>
        </w:rPr>
        <w:t>driven</w:t>
      </w:r>
      <w:r w:rsidR="00F049F5">
        <w:rPr>
          <w:rFonts w:ascii="Times New Roman" w:hAnsi="Times New Roman" w:cs="Times New Roman"/>
          <w:sz w:val="24"/>
          <w:szCs w:val="24"/>
        </w:rPr>
        <w:t xml:space="preserve"> initiatives can produce mistrust and resistance among domestic social actors if these projects’ local promoters do not enjoy a </w:t>
      </w:r>
      <w:r w:rsidR="00B2275B">
        <w:rPr>
          <w:rFonts w:ascii="Times New Roman" w:hAnsi="Times New Roman" w:cs="Times New Roman"/>
          <w:sz w:val="24"/>
          <w:szCs w:val="24"/>
        </w:rPr>
        <w:t>recognized</w:t>
      </w:r>
      <w:r w:rsidR="00F049F5">
        <w:rPr>
          <w:rFonts w:ascii="Times New Roman" w:hAnsi="Times New Roman" w:cs="Times New Roman"/>
          <w:sz w:val="24"/>
          <w:szCs w:val="24"/>
        </w:rPr>
        <w:t xml:space="preserve"> </w:t>
      </w:r>
      <w:r w:rsidR="007A0277">
        <w:rPr>
          <w:rFonts w:ascii="Times New Roman" w:hAnsi="Times New Roman" w:cs="Times New Roman"/>
          <w:sz w:val="24"/>
          <w:szCs w:val="24"/>
        </w:rPr>
        <w:t xml:space="preserve">integrity and </w:t>
      </w:r>
      <w:r w:rsidR="00F049F5">
        <w:rPr>
          <w:rFonts w:ascii="Times New Roman" w:hAnsi="Times New Roman" w:cs="Times New Roman"/>
          <w:sz w:val="24"/>
          <w:szCs w:val="24"/>
        </w:rPr>
        <w:t xml:space="preserve">legitimacy, or if they are viewed as having self-serving motives. </w:t>
      </w:r>
      <w:r w:rsidR="00161945">
        <w:rPr>
          <w:rFonts w:ascii="Times New Roman" w:hAnsi="Times New Roman"/>
          <w:sz w:val="24"/>
        </w:rPr>
        <w:t xml:space="preserve">Detailed local knowledge and an understanding of civil society politics </w:t>
      </w:r>
      <w:r w:rsidR="004C3D8F">
        <w:rPr>
          <w:rFonts w:ascii="Times New Roman" w:hAnsi="Times New Roman"/>
          <w:sz w:val="24"/>
        </w:rPr>
        <w:t xml:space="preserve">can </w:t>
      </w:r>
      <w:r>
        <w:rPr>
          <w:rFonts w:ascii="Times New Roman" w:hAnsi="Times New Roman"/>
          <w:sz w:val="24"/>
        </w:rPr>
        <w:t>help</w:t>
      </w:r>
      <w:r w:rsidR="004C3D8F">
        <w:rPr>
          <w:rFonts w:ascii="Times New Roman" w:hAnsi="Times New Roman"/>
          <w:sz w:val="24"/>
        </w:rPr>
        <w:t xml:space="preserve"> </w:t>
      </w:r>
      <w:r w:rsidR="00715DAC">
        <w:rPr>
          <w:rFonts w:ascii="Times New Roman" w:hAnsi="Times New Roman"/>
          <w:sz w:val="24"/>
        </w:rPr>
        <w:t xml:space="preserve">external </w:t>
      </w:r>
      <w:r w:rsidR="004C3D8F">
        <w:rPr>
          <w:rFonts w:ascii="Times New Roman" w:hAnsi="Times New Roman"/>
          <w:sz w:val="24"/>
        </w:rPr>
        <w:t>donors defin</w:t>
      </w:r>
      <w:r w:rsidR="006675A3">
        <w:rPr>
          <w:rFonts w:ascii="Times New Roman" w:hAnsi="Times New Roman"/>
          <w:sz w:val="24"/>
        </w:rPr>
        <w:t>e</w:t>
      </w:r>
      <w:r w:rsidR="004C3D8F">
        <w:rPr>
          <w:rFonts w:ascii="Times New Roman" w:hAnsi="Times New Roman"/>
          <w:sz w:val="24"/>
        </w:rPr>
        <w:t xml:space="preserve"> viable projects</w:t>
      </w:r>
      <w:r w:rsidR="007A0277">
        <w:rPr>
          <w:rFonts w:ascii="Times New Roman" w:hAnsi="Times New Roman"/>
          <w:sz w:val="24"/>
        </w:rPr>
        <w:t>. However, there</w:t>
      </w:r>
      <w:r w:rsidR="00B2275B">
        <w:rPr>
          <w:rFonts w:ascii="Times New Roman" w:hAnsi="Times New Roman"/>
          <w:sz w:val="24"/>
        </w:rPr>
        <w:t xml:space="preserve"> may </w:t>
      </w:r>
      <w:r w:rsidR="00DA0220">
        <w:rPr>
          <w:rFonts w:ascii="Times New Roman" w:hAnsi="Times New Roman"/>
          <w:sz w:val="24"/>
        </w:rPr>
        <w:t xml:space="preserve">also </w:t>
      </w:r>
      <w:r w:rsidR="00B2275B">
        <w:rPr>
          <w:rFonts w:ascii="Times New Roman" w:hAnsi="Times New Roman"/>
          <w:sz w:val="24"/>
        </w:rPr>
        <w:t xml:space="preserve">be inherent constraints </w:t>
      </w:r>
      <w:r w:rsidR="00715DAC">
        <w:rPr>
          <w:rFonts w:ascii="Times New Roman" w:hAnsi="Times New Roman"/>
          <w:sz w:val="24"/>
        </w:rPr>
        <w:t>present</w:t>
      </w:r>
      <w:r w:rsidR="00B9671E">
        <w:rPr>
          <w:rFonts w:ascii="Times New Roman" w:hAnsi="Times New Roman"/>
          <w:sz w:val="24"/>
        </w:rPr>
        <w:t xml:space="preserve"> when discourses of ‘truth and reconciliation’ </w:t>
      </w:r>
      <w:r>
        <w:rPr>
          <w:rFonts w:ascii="Times New Roman" w:hAnsi="Times New Roman"/>
          <w:sz w:val="24"/>
        </w:rPr>
        <w:t>are</w:t>
      </w:r>
      <w:r w:rsidR="00B9671E">
        <w:rPr>
          <w:rFonts w:ascii="Times New Roman" w:hAnsi="Times New Roman"/>
          <w:sz w:val="24"/>
        </w:rPr>
        <w:t xml:space="preserve"> at odds with the</w:t>
      </w:r>
      <w:r>
        <w:rPr>
          <w:rFonts w:ascii="Times New Roman" w:hAnsi="Times New Roman"/>
          <w:sz w:val="24"/>
        </w:rPr>
        <w:t>ir</w:t>
      </w:r>
      <w:r w:rsidR="00B9671E">
        <w:rPr>
          <w:rFonts w:ascii="Times New Roman" w:hAnsi="Times New Roman"/>
          <w:sz w:val="24"/>
        </w:rPr>
        <w:t xml:space="preserve"> social and political environment.</w:t>
      </w:r>
      <w:r w:rsidR="00594BDD">
        <w:rPr>
          <w:rFonts w:ascii="Times New Roman" w:hAnsi="Times New Roman"/>
          <w:sz w:val="24"/>
        </w:rPr>
        <w:t xml:space="preserve"> I</w:t>
      </w:r>
      <w:r w:rsidR="00F34758">
        <w:rPr>
          <w:rFonts w:ascii="Times New Roman" w:hAnsi="Times New Roman"/>
          <w:sz w:val="24"/>
        </w:rPr>
        <w:t xml:space="preserve">n the case of the Bosnian TRC, the </w:t>
      </w:r>
      <w:r w:rsidR="007A0277">
        <w:rPr>
          <w:rFonts w:ascii="Times New Roman" w:hAnsi="Times New Roman"/>
          <w:sz w:val="24"/>
        </w:rPr>
        <w:t>underlying</w:t>
      </w:r>
      <w:r w:rsidR="004C3D8F">
        <w:rPr>
          <w:rFonts w:ascii="Times New Roman" w:hAnsi="Times New Roman"/>
          <w:sz w:val="24"/>
        </w:rPr>
        <w:t xml:space="preserve"> problem </w:t>
      </w:r>
      <w:r w:rsidR="00F34758">
        <w:rPr>
          <w:rFonts w:ascii="Times New Roman" w:hAnsi="Times New Roman"/>
          <w:sz w:val="24"/>
        </w:rPr>
        <w:t xml:space="preserve">concerned </w:t>
      </w:r>
      <w:r w:rsidR="007A0277">
        <w:rPr>
          <w:rFonts w:ascii="Times New Roman" w:hAnsi="Times New Roman"/>
          <w:sz w:val="24"/>
        </w:rPr>
        <w:t>the construction of</w:t>
      </w:r>
      <w:r w:rsidR="004C3D8F">
        <w:rPr>
          <w:rFonts w:ascii="Times New Roman" w:hAnsi="Times New Roman"/>
          <w:sz w:val="24"/>
        </w:rPr>
        <w:t xml:space="preserve"> a</w:t>
      </w:r>
      <w:r w:rsidR="00F049F5">
        <w:rPr>
          <w:rFonts w:ascii="Times New Roman" w:hAnsi="Times New Roman"/>
          <w:sz w:val="24"/>
        </w:rPr>
        <w:t>n official</w:t>
      </w:r>
      <w:r w:rsidR="00A95B06">
        <w:rPr>
          <w:rFonts w:ascii="Times New Roman" w:hAnsi="Times New Roman"/>
          <w:sz w:val="24"/>
        </w:rPr>
        <w:t xml:space="preserve"> </w:t>
      </w:r>
      <w:r w:rsidR="00C3649A">
        <w:rPr>
          <w:rFonts w:ascii="Times New Roman" w:hAnsi="Times New Roman"/>
          <w:sz w:val="24"/>
        </w:rPr>
        <w:t xml:space="preserve">state-legitimising </w:t>
      </w:r>
      <w:r w:rsidR="00F34758">
        <w:rPr>
          <w:rFonts w:ascii="Times New Roman" w:hAnsi="Times New Roman"/>
          <w:sz w:val="24"/>
        </w:rPr>
        <w:t>narrative</w:t>
      </w:r>
      <w:r w:rsidR="00A95B06">
        <w:rPr>
          <w:rFonts w:ascii="Times New Roman" w:hAnsi="Times New Roman"/>
          <w:sz w:val="24"/>
        </w:rPr>
        <w:t xml:space="preserve"> of ‘</w:t>
      </w:r>
      <w:r w:rsidR="00C3649A">
        <w:rPr>
          <w:rFonts w:ascii="Times New Roman" w:hAnsi="Times New Roman"/>
          <w:sz w:val="24"/>
        </w:rPr>
        <w:t xml:space="preserve">national </w:t>
      </w:r>
      <w:r w:rsidR="00A95B06">
        <w:rPr>
          <w:rFonts w:ascii="Times New Roman" w:hAnsi="Times New Roman"/>
          <w:sz w:val="24"/>
        </w:rPr>
        <w:t xml:space="preserve">reconciliation’ </w:t>
      </w:r>
      <w:r w:rsidR="004C3D8F">
        <w:rPr>
          <w:rFonts w:ascii="Times New Roman" w:hAnsi="Times New Roman"/>
          <w:sz w:val="24"/>
        </w:rPr>
        <w:t>that d</w:t>
      </w:r>
      <w:r w:rsidR="00F34758">
        <w:rPr>
          <w:rFonts w:ascii="Times New Roman" w:hAnsi="Times New Roman"/>
          <w:sz w:val="24"/>
        </w:rPr>
        <w:t>id</w:t>
      </w:r>
      <w:r w:rsidR="004C3D8F">
        <w:rPr>
          <w:rFonts w:ascii="Times New Roman" w:hAnsi="Times New Roman"/>
          <w:sz w:val="24"/>
        </w:rPr>
        <w:t xml:space="preserve"> not</w:t>
      </w:r>
      <w:r w:rsidR="00F049F5">
        <w:rPr>
          <w:rFonts w:ascii="Times New Roman" w:hAnsi="Times New Roman"/>
          <w:sz w:val="24"/>
        </w:rPr>
        <w:t xml:space="preserve"> correspond with the </w:t>
      </w:r>
      <w:r w:rsidR="00C3649A">
        <w:rPr>
          <w:rFonts w:ascii="Times New Roman" w:hAnsi="Times New Roman"/>
          <w:sz w:val="24"/>
        </w:rPr>
        <w:t>reality</w:t>
      </w:r>
      <w:r w:rsidR="00F049F5">
        <w:rPr>
          <w:rFonts w:ascii="Times New Roman" w:hAnsi="Times New Roman"/>
          <w:sz w:val="24"/>
        </w:rPr>
        <w:t xml:space="preserve"> of </w:t>
      </w:r>
      <w:r w:rsidR="006675A3">
        <w:rPr>
          <w:rFonts w:ascii="Times New Roman" w:hAnsi="Times New Roman"/>
          <w:sz w:val="24"/>
        </w:rPr>
        <w:t>the Bosnian</w:t>
      </w:r>
      <w:r w:rsidR="00F049F5">
        <w:rPr>
          <w:rFonts w:ascii="Times New Roman" w:hAnsi="Times New Roman"/>
          <w:sz w:val="24"/>
        </w:rPr>
        <w:t xml:space="preserve"> state</w:t>
      </w:r>
      <w:r w:rsidR="00C3649A">
        <w:rPr>
          <w:rFonts w:ascii="Times New Roman" w:hAnsi="Times New Roman"/>
          <w:sz w:val="24"/>
        </w:rPr>
        <w:t xml:space="preserve">, its institutions or political leaders, and </w:t>
      </w:r>
      <w:r w:rsidR="00DA0220">
        <w:rPr>
          <w:rFonts w:ascii="Times New Roman" w:hAnsi="Times New Roman"/>
          <w:sz w:val="24"/>
        </w:rPr>
        <w:t xml:space="preserve">also </w:t>
      </w:r>
      <w:r w:rsidR="00C3649A">
        <w:rPr>
          <w:rFonts w:ascii="Times New Roman" w:hAnsi="Times New Roman"/>
          <w:sz w:val="24"/>
        </w:rPr>
        <w:t>did not</w:t>
      </w:r>
      <w:r w:rsidR="004C3D8F">
        <w:rPr>
          <w:rFonts w:ascii="Times New Roman" w:hAnsi="Times New Roman"/>
          <w:sz w:val="24"/>
        </w:rPr>
        <w:t xml:space="preserve"> resonate with the population </w:t>
      </w:r>
      <w:r w:rsidR="00364842">
        <w:rPr>
          <w:rFonts w:ascii="Times New Roman" w:hAnsi="Times New Roman"/>
          <w:sz w:val="24"/>
        </w:rPr>
        <w:t>more widely</w:t>
      </w:r>
      <w:r w:rsidR="004C3D8F">
        <w:rPr>
          <w:rFonts w:ascii="Times New Roman" w:hAnsi="Times New Roman"/>
          <w:sz w:val="24"/>
        </w:rPr>
        <w:t>.</w:t>
      </w:r>
      <w:r w:rsidR="00A95B06">
        <w:rPr>
          <w:rFonts w:ascii="Times New Roman" w:hAnsi="Times New Roman"/>
          <w:sz w:val="24"/>
        </w:rPr>
        <w:t xml:space="preserve"> </w:t>
      </w:r>
      <w:r w:rsidR="004C3D8F">
        <w:rPr>
          <w:rFonts w:ascii="Times New Roman" w:hAnsi="Times New Roman" w:cs="Times New Roman"/>
          <w:sz w:val="24"/>
          <w:szCs w:val="24"/>
        </w:rPr>
        <w:t xml:space="preserve">The failure of the </w:t>
      </w:r>
      <w:r w:rsidR="00C3649A">
        <w:rPr>
          <w:rFonts w:ascii="Times New Roman" w:hAnsi="Times New Roman" w:cs="Times New Roman"/>
          <w:sz w:val="24"/>
          <w:szCs w:val="24"/>
        </w:rPr>
        <w:t>national</w:t>
      </w:r>
      <w:r w:rsidR="004C3D8F">
        <w:rPr>
          <w:rFonts w:ascii="Times New Roman" w:hAnsi="Times New Roman" w:cs="Times New Roman"/>
          <w:sz w:val="24"/>
          <w:szCs w:val="24"/>
        </w:rPr>
        <w:t xml:space="preserve"> TRC project uncovered</w:t>
      </w:r>
      <w:r w:rsidR="00C3649A">
        <w:rPr>
          <w:rFonts w:ascii="Times New Roman" w:hAnsi="Times New Roman" w:cs="Times New Roman"/>
          <w:sz w:val="24"/>
          <w:szCs w:val="24"/>
        </w:rPr>
        <w:t xml:space="preserve"> the</w:t>
      </w:r>
      <w:r w:rsidR="004C3D8F">
        <w:rPr>
          <w:rFonts w:ascii="Times New Roman" w:hAnsi="Times New Roman" w:cs="Times New Roman"/>
          <w:sz w:val="24"/>
          <w:szCs w:val="24"/>
        </w:rPr>
        <w:t xml:space="preserve"> fear </w:t>
      </w:r>
      <w:r w:rsidR="00C3649A">
        <w:rPr>
          <w:rFonts w:ascii="Times New Roman" w:hAnsi="Times New Roman" w:cs="Times New Roman"/>
          <w:sz w:val="24"/>
          <w:szCs w:val="24"/>
        </w:rPr>
        <w:t xml:space="preserve">and mistrust </w:t>
      </w:r>
      <w:r w:rsidR="004C3D8F">
        <w:rPr>
          <w:rFonts w:ascii="Times New Roman" w:hAnsi="Times New Roman" w:cs="Times New Roman"/>
          <w:sz w:val="24"/>
          <w:szCs w:val="24"/>
        </w:rPr>
        <w:t xml:space="preserve">held </w:t>
      </w:r>
      <w:r w:rsidR="00C3649A">
        <w:rPr>
          <w:rFonts w:ascii="Times New Roman" w:hAnsi="Times New Roman" w:cs="Times New Roman"/>
          <w:sz w:val="24"/>
          <w:szCs w:val="24"/>
        </w:rPr>
        <w:t>by many Bosnians</w:t>
      </w:r>
      <w:r w:rsidR="00CB13C5">
        <w:rPr>
          <w:rFonts w:ascii="Times New Roman" w:hAnsi="Times New Roman" w:cs="Times New Roman"/>
          <w:sz w:val="24"/>
          <w:szCs w:val="24"/>
        </w:rPr>
        <w:t xml:space="preserve"> </w:t>
      </w:r>
      <w:r w:rsidR="00C3649A">
        <w:rPr>
          <w:rFonts w:ascii="Times New Roman" w:hAnsi="Times New Roman" w:cs="Times New Roman"/>
          <w:sz w:val="24"/>
          <w:szCs w:val="24"/>
        </w:rPr>
        <w:t>in regard to</w:t>
      </w:r>
      <w:r w:rsidR="00CB13C5">
        <w:rPr>
          <w:rFonts w:ascii="Times New Roman" w:hAnsi="Times New Roman" w:cs="Times New Roman"/>
          <w:sz w:val="24"/>
          <w:szCs w:val="24"/>
        </w:rPr>
        <w:t xml:space="preserve"> </w:t>
      </w:r>
      <w:r w:rsidR="00F34758">
        <w:rPr>
          <w:rFonts w:ascii="Times New Roman" w:hAnsi="Times New Roman" w:cs="Times New Roman"/>
          <w:sz w:val="24"/>
          <w:szCs w:val="24"/>
        </w:rPr>
        <w:t xml:space="preserve">such large-scale </w:t>
      </w:r>
      <w:r w:rsidR="004C3D8F">
        <w:rPr>
          <w:rFonts w:ascii="Times New Roman" w:hAnsi="Times New Roman" w:cs="Times New Roman"/>
          <w:sz w:val="24"/>
          <w:szCs w:val="24"/>
        </w:rPr>
        <w:t>official</w:t>
      </w:r>
      <w:r w:rsidR="00F34758">
        <w:rPr>
          <w:rFonts w:ascii="Times New Roman" w:hAnsi="Times New Roman" w:cs="Times New Roman"/>
          <w:sz w:val="24"/>
          <w:szCs w:val="24"/>
        </w:rPr>
        <w:t xml:space="preserve"> </w:t>
      </w:r>
      <w:r w:rsidR="00CB13C5">
        <w:rPr>
          <w:rFonts w:ascii="Times New Roman" w:hAnsi="Times New Roman" w:cs="Times New Roman"/>
          <w:sz w:val="24"/>
          <w:szCs w:val="24"/>
        </w:rPr>
        <w:t xml:space="preserve">projects that </w:t>
      </w:r>
      <w:r w:rsidR="007A0277">
        <w:rPr>
          <w:rFonts w:ascii="Times New Roman" w:hAnsi="Times New Roman" w:cs="Times New Roman"/>
          <w:sz w:val="24"/>
          <w:szCs w:val="24"/>
        </w:rPr>
        <w:t>threatened to</w:t>
      </w:r>
      <w:r w:rsidR="00CB13C5">
        <w:rPr>
          <w:rFonts w:ascii="Times New Roman" w:hAnsi="Times New Roman" w:cs="Times New Roman"/>
          <w:sz w:val="24"/>
          <w:szCs w:val="24"/>
        </w:rPr>
        <w:t xml:space="preserve"> dilute the specificity of individual experience, promote </w:t>
      </w:r>
      <w:r w:rsidR="008D7316">
        <w:rPr>
          <w:rFonts w:ascii="Times New Roman" w:hAnsi="Times New Roman" w:cs="Times New Roman"/>
          <w:sz w:val="24"/>
          <w:szCs w:val="24"/>
        </w:rPr>
        <w:t xml:space="preserve">a narrative of </w:t>
      </w:r>
      <w:r w:rsidR="00CB13C5">
        <w:rPr>
          <w:rFonts w:ascii="Times New Roman" w:hAnsi="Times New Roman" w:cs="Times New Roman"/>
          <w:sz w:val="24"/>
          <w:szCs w:val="24"/>
        </w:rPr>
        <w:t>reconciliation at the expense of justice</w:t>
      </w:r>
      <w:r w:rsidR="00F34758">
        <w:rPr>
          <w:rFonts w:ascii="Times New Roman" w:hAnsi="Times New Roman" w:cs="Times New Roman"/>
          <w:sz w:val="24"/>
          <w:szCs w:val="24"/>
        </w:rPr>
        <w:t xml:space="preserve"> and institutional reform</w:t>
      </w:r>
      <w:r w:rsidR="00F12561">
        <w:rPr>
          <w:rFonts w:ascii="Times New Roman" w:hAnsi="Times New Roman" w:cs="Times New Roman"/>
          <w:sz w:val="24"/>
          <w:szCs w:val="24"/>
        </w:rPr>
        <w:t>,</w:t>
      </w:r>
      <w:r w:rsidR="0045557A">
        <w:rPr>
          <w:rFonts w:ascii="Times New Roman" w:hAnsi="Times New Roman" w:cs="Times New Roman"/>
          <w:sz w:val="24"/>
          <w:szCs w:val="24"/>
        </w:rPr>
        <w:t xml:space="preserve"> </w:t>
      </w:r>
      <w:r w:rsidR="006834DD">
        <w:rPr>
          <w:rFonts w:ascii="Times New Roman" w:hAnsi="Times New Roman" w:cs="Times New Roman"/>
          <w:sz w:val="24"/>
          <w:szCs w:val="24"/>
        </w:rPr>
        <w:t>and</w:t>
      </w:r>
      <w:r w:rsidR="00CB13C5">
        <w:rPr>
          <w:rFonts w:ascii="Times New Roman" w:hAnsi="Times New Roman" w:cs="Times New Roman"/>
          <w:sz w:val="24"/>
          <w:szCs w:val="24"/>
        </w:rPr>
        <w:t xml:space="preserve"> make political use of personal tragedy</w:t>
      </w:r>
      <w:r w:rsidR="004C3D8F">
        <w:rPr>
          <w:rFonts w:ascii="Times New Roman" w:hAnsi="Times New Roman" w:cs="Times New Roman"/>
          <w:sz w:val="24"/>
          <w:szCs w:val="24"/>
        </w:rPr>
        <w:t>.</w:t>
      </w:r>
    </w:p>
    <w:p w:rsidR="00222B71" w:rsidRDefault="00A841D4" w:rsidP="00E149A8">
      <w:pPr>
        <w:spacing w:line="360" w:lineRule="auto"/>
        <w:ind w:firstLine="720"/>
        <w:rPr>
          <w:rFonts w:ascii="Times New Roman" w:hAnsi="Times New Roman" w:cs="Times New Roman"/>
          <w:sz w:val="24"/>
          <w:szCs w:val="24"/>
        </w:rPr>
      </w:pPr>
      <w:r>
        <w:rPr>
          <w:rFonts w:ascii="Times New Roman" w:hAnsi="Times New Roman" w:cs="Times New Roman"/>
          <w:sz w:val="24"/>
          <w:szCs w:val="24"/>
        </w:rPr>
        <w:t>Finally</w:t>
      </w:r>
      <w:r w:rsidR="00E149A8">
        <w:rPr>
          <w:rFonts w:ascii="Times New Roman" w:hAnsi="Times New Roman" w:cs="Times New Roman"/>
          <w:sz w:val="24"/>
          <w:szCs w:val="24"/>
        </w:rPr>
        <w:t xml:space="preserve">, the history of Bosnia’s failed truth commission initiatives highlights a phenomenon that deserves greater emphasis in the literature, namely the politics of transitional justice institutions themselves—in this case of the ICTY and the TRC project. The ICTY’s successful resistance to the creation of another transitional justice mechanism exposed the logic of self-interest and self-preservation </w:t>
      </w:r>
      <w:r w:rsidR="00243562">
        <w:rPr>
          <w:rFonts w:ascii="Times New Roman" w:hAnsi="Times New Roman" w:cs="Times New Roman"/>
          <w:sz w:val="24"/>
          <w:szCs w:val="24"/>
        </w:rPr>
        <w:t xml:space="preserve">inevitably </w:t>
      </w:r>
      <w:r w:rsidR="00E149A8">
        <w:rPr>
          <w:rFonts w:ascii="Times New Roman" w:hAnsi="Times New Roman" w:cs="Times New Roman"/>
          <w:sz w:val="24"/>
          <w:szCs w:val="24"/>
        </w:rPr>
        <w:t xml:space="preserve">faced by ad hoc institutions dependent on external funding, </w:t>
      </w:r>
      <w:r w:rsidR="00E149A8">
        <w:rPr>
          <w:rFonts w:ascii="Times New Roman" w:hAnsi="Times New Roman"/>
          <w:sz w:val="24"/>
        </w:rPr>
        <w:t xml:space="preserve">regardless of </w:t>
      </w:r>
      <w:r w:rsidR="008D0C0B">
        <w:rPr>
          <w:rFonts w:ascii="Times New Roman" w:hAnsi="Times New Roman"/>
          <w:sz w:val="24"/>
        </w:rPr>
        <w:t>their</w:t>
      </w:r>
      <w:r w:rsidR="00E149A8">
        <w:rPr>
          <w:rFonts w:ascii="Times New Roman" w:hAnsi="Times New Roman"/>
          <w:sz w:val="24"/>
        </w:rPr>
        <w:t xml:space="preserve"> </w:t>
      </w:r>
      <w:r w:rsidR="00E149A8">
        <w:rPr>
          <w:rFonts w:ascii="Times New Roman" w:hAnsi="Times New Roman" w:cs="Times New Roman"/>
          <w:sz w:val="24"/>
          <w:szCs w:val="24"/>
        </w:rPr>
        <w:t>technically and officially mandated complementarity. This is not unique to the Bosnian case, as the ex</w:t>
      </w:r>
      <w:r w:rsidR="00E149A8">
        <w:rPr>
          <w:rFonts w:ascii="Times New Roman" w:hAnsi="Times New Roman"/>
          <w:sz w:val="24"/>
        </w:rPr>
        <w:t>amples of Sierra Leone and Timor-Leste have also shown.</w:t>
      </w:r>
      <w:r w:rsidR="00E149A8">
        <w:rPr>
          <w:rStyle w:val="FootnoteReference"/>
          <w:rFonts w:ascii="Times New Roman" w:hAnsi="Times New Roman"/>
          <w:sz w:val="24"/>
        </w:rPr>
        <w:footnoteReference w:id="95"/>
      </w:r>
      <w:r w:rsidR="00E149A8">
        <w:rPr>
          <w:rFonts w:ascii="Times New Roman" w:hAnsi="Times New Roman"/>
          <w:sz w:val="24"/>
        </w:rPr>
        <w:t xml:space="preserve"> </w:t>
      </w:r>
      <w:r w:rsidR="00E149A8">
        <w:rPr>
          <w:rFonts w:ascii="Times New Roman" w:hAnsi="Times New Roman" w:cs="Times New Roman"/>
          <w:sz w:val="24"/>
          <w:szCs w:val="24"/>
        </w:rPr>
        <w:t xml:space="preserve">While this form of institutional rivalry may be mitigated if all transitional justice mechanisms are created concurrently with a clear attribution of </w:t>
      </w:r>
      <w:r w:rsidR="00E149A8">
        <w:rPr>
          <w:rFonts w:ascii="Times New Roman" w:hAnsi="Times New Roman" w:cs="Times New Roman"/>
          <w:sz w:val="24"/>
          <w:szCs w:val="24"/>
        </w:rPr>
        <w:lastRenderedPageBreak/>
        <w:t>resources and tasks,</w:t>
      </w:r>
      <w:r w:rsidR="00E149A8" w:rsidRPr="008B3A2F">
        <w:rPr>
          <w:rStyle w:val="FootnoteReference"/>
          <w:rFonts w:ascii="Times New Roman" w:hAnsi="Times New Roman"/>
          <w:sz w:val="24"/>
        </w:rPr>
        <w:t xml:space="preserve"> </w:t>
      </w:r>
      <w:r w:rsidR="00E149A8">
        <w:rPr>
          <w:rStyle w:val="FootnoteReference"/>
          <w:rFonts w:ascii="Times New Roman" w:hAnsi="Times New Roman"/>
          <w:sz w:val="24"/>
        </w:rPr>
        <w:footnoteReference w:id="96"/>
      </w:r>
      <w:r w:rsidR="00E149A8">
        <w:rPr>
          <w:rFonts w:ascii="Times New Roman" w:hAnsi="Times New Roman" w:cs="Times New Roman"/>
          <w:sz w:val="24"/>
          <w:szCs w:val="24"/>
        </w:rPr>
        <w:t xml:space="preserve"> it is illusory to believe that politics can be completely eliminated from the process. These experiences indicate that transitional justice would benefit from being understood partly as a form of institutional politics, created and fueled by the precarious nature of external funding and the interests and preferences of powerful international actors.</w:t>
      </w:r>
    </w:p>
    <w:p w:rsidR="00E149A8" w:rsidRDefault="00A841D4" w:rsidP="006675A3">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In sum, the </w:t>
      </w:r>
      <w:r w:rsidR="00B31619">
        <w:rPr>
          <w:rFonts w:ascii="Times New Roman" w:hAnsi="Times New Roman" w:cs="Times New Roman"/>
          <w:sz w:val="24"/>
          <w:szCs w:val="24"/>
        </w:rPr>
        <w:t>failure</w:t>
      </w:r>
      <w:r>
        <w:rPr>
          <w:rFonts w:ascii="Times New Roman" w:hAnsi="Times New Roman" w:cs="Times New Roman"/>
          <w:sz w:val="24"/>
          <w:szCs w:val="24"/>
        </w:rPr>
        <w:t xml:space="preserve"> to create a national truth commission for </w:t>
      </w:r>
      <w:r w:rsidR="0092784F">
        <w:rPr>
          <w:rFonts w:ascii="Times New Roman" w:hAnsi="Times New Roman" w:cs="Times New Roman"/>
          <w:sz w:val="24"/>
          <w:szCs w:val="24"/>
        </w:rPr>
        <w:t>Bosnia</w:t>
      </w:r>
      <w:r>
        <w:rPr>
          <w:rFonts w:ascii="Times New Roman" w:hAnsi="Times New Roman" w:cs="Times New Roman"/>
          <w:sz w:val="24"/>
          <w:szCs w:val="24"/>
        </w:rPr>
        <w:t xml:space="preserve"> </w:t>
      </w:r>
      <w:r w:rsidR="008740FE">
        <w:rPr>
          <w:rFonts w:ascii="Times New Roman" w:hAnsi="Times New Roman" w:cs="Times New Roman"/>
          <w:sz w:val="24"/>
          <w:szCs w:val="24"/>
        </w:rPr>
        <w:t>is</w:t>
      </w:r>
      <w:r>
        <w:rPr>
          <w:rFonts w:ascii="Times New Roman" w:hAnsi="Times New Roman" w:cs="Times New Roman"/>
          <w:sz w:val="24"/>
          <w:szCs w:val="24"/>
        </w:rPr>
        <w:t xml:space="preserve"> testimony to the inherently political </w:t>
      </w:r>
      <w:r w:rsidR="002A35F5">
        <w:rPr>
          <w:rFonts w:ascii="Times New Roman" w:hAnsi="Times New Roman" w:cs="Times New Roman"/>
          <w:sz w:val="24"/>
          <w:szCs w:val="24"/>
        </w:rPr>
        <w:t xml:space="preserve">and contested </w:t>
      </w:r>
      <w:r w:rsidR="00C36DDA">
        <w:rPr>
          <w:rFonts w:ascii="Times New Roman" w:hAnsi="Times New Roman" w:cs="Times New Roman"/>
          <w:sz w:val="24"/>
          <w:szCs w:val="24"/>
        </w:rPr>
        <w:t>character</w:t>
      </w:r>
      <w:r>
        <w:rPr>
          <w:rFonts w:ascii="Times New Roman" w:hAnsi="Times New Roman" w:cs="Times New Roman"/>
          <w:sz w:val="24"/>
          <w:szCs w:val="24"/>
        </w:rPr>
        <w:t xml:space="preserve"> of </w:t>
      </w:r>
      <w:r w:rsidR="002A35F5">
        <w:rPr>
          <w:rFonts w:ascii="Times New Roman" w:hAnsi="Times New Roman" w:cs="Times New Roman"/>
          <w:sz w:val="24"/>
          <w:szCs w:val="24"/>
        </w:rPr>
        <w:t>addressing the legacy of past conflict</w:t>
      </w:r>
      <w:r w:rsidR="00CC3F8E">
        <w:rPr>
          <w:rFonts w:ascii="Times New Roman" w:hAnsi="Times New Roman" w:cs="Times New Roman"/>
          <w:sz w:val="24"/>
          <w:szCs w:val="24"/>
        </w:rPr>
        <w:t xml:space="preserve"> </w:t>
      </w:r>
      <w:r w:rsidR="00C36DDA">
        <w:rPr>
          <w:rFonts w:ascii="Times New Roman" w:hAnsi="Times New Roman" w:cs="Times New Roman"/>
          <w:sz w:val="24"/>
          <w:szCs w:val="24"/>
        </w:rPr>
        <w:t>at</w:t>
      </w:r>
      <w:r w:rsidR="00CC3F8E">
        <w:rPr>
          <w:rFonts w:ascii="Times New Roman" w:hAnsi="Times New Roman" w:cs="Times New Roman"/>
          <w:sz w:val="24"/>
          <w:szCs w:val="24"/>
        </w:rPr>
        <w:t xml:space="preserve"> all levels of society—the local, the national and the international. </w:t>
      </w:r>
      <w:r w:rsidR="002A35F5">
        <w:rPr>
          <w:rFonts w:ascii="Times New Roman" w:hAnsi="Times New Roman" w:cs="Times New Roman"/>
          <w:sz w:val="24"/>
          <w:szCs w:val="24"/>
        </w:rPr>
        <w:t>Far from being a technical exercise, creating a truth commission</w:t>
      </w:r>
      <w:r w:rsidR="00CC3F8E">
        <w:rPr>
          <w:rFonts w:ascii="Times New Roman" w:hAnsi="Times New Roman" w:cs="Times New Roman"/>
          <w:sz w:val="24"/>
          <w:szCs w:val="24"/>
        </w:rPr>
        <w:t xml:space="preserve"> raises questions </w:t>
      </w:r>
      <w:r w:rsidR="002A35F5">
        <w:rPr>
          <w:rFonts w:ascii="Times New Roman" w:hAnsi="Times New Roman" w:cs="Times New Roman"/>
          <w:sz w:val="24"/>
          <w:szCs w:val="24"/>
        </w:rPr>
        <w:t xml:space="preserve">about </w:t>
      </w:r>
      <w:r w:rsidR="00CC3F8E">
        <w:rPr>
          <w:rFonts w:ascii="Times New Roman" w:hAnsi="Times New Roman" w:cs="Times New Roman"/>
          <w:sz w:val="24"/>
          <w:szCs w:val="24"/>
        </w:rPr>
        <w:t xml:space="preserve">legitimate authority </w:t>
      </w:r>
      <w:r w:rsidR="00C36DDA">
        <w:rPr>
          <w:rFonts w:ascii="Times New Roman" w:hAnsi="Times New Roman" w:cs="Times New Roman"/>
          <w:sz w:val="24"/>
          <w:szCs w:val="24"/>
        </w:rPr>
        <w:t>in defining that past</w:t>
      </w:r>
      <w:r w:rsidR="002A35F5">
        <w:rPr>
          <w:rFonts w:ascii="Times New Roman" w:hAnsi="Times New Roman" w:cs="Times New Roman"/>
          <w:sz w:val="24"/>
          <w:szCs w:val="24"/>
        </w:rPr>
        <w:t>, the purpose of the reckoning,</w:t>
      </w:r>
      <w:r w:rsidR="00C36DDA">
        <w:rPr>
          <w:rFonts w:ascii="Times New Roman" w:hAnsi="Times New Roman" w:cs="Times New Roman"/>
          <w:sz w:val="24"/>
          <w:szCs w:val="24"/>
        </w:rPr>
        <w:t xml:space="preserve"> </w:t>
      </w:r>
      <w:r w:rsidR="00CC3F8E">
        <w:rPr>
          <w:rFonts w:ascii="Times New Roman" w:hAnsi="Times New Roman" w:cs="Times New Roman"/>
          <w:sz w:val="24"/>
          <w:szCs w:val="24"/>
        </w:rPr>
        <w:t xml:space="preserve">and </w:t>
      </w:r>
      <w:r w:rsidR="00C36DDA">
        <w:rPr>
          <w:rFonts w:ascii="Times New Roman" w:hAnsi="Times New Roman" w:cs="Times New Roman"/>
          <w:sz w:val="24"/>
          <w:szCs w:val="24"/>
        </w:rPr>
        <w:t xml:space="preserve">the </w:t>
      </w:r>
      <w:r w:rsidR="00F8185F">
        <w:rPr>
          <w:rFonts w:ascii="Times New Roman" w:hAnsi="Times New Roman" w:cs="Times New Roman"/>
          <w:sz w:val="24"/>
          <w:szCs w:val="24"/>
        </w:rPr>
        <w:t xml:space="preserve">thorny </w:t>
      </w:r>
      <w:r w:rsidR="000C17A4">
        <w:rPr>
          <w:rFonts w:ascii="Times New Roman" w:hAnsi="Times New Roman" w:cs="Times New Roman"/>
          <w:sz w:val="24"/>
          <w:szCs w:val="24"/>
        </w:rPr>
        <w:t>dilemmas</w:t>
      </w:r>
      <w:r w:rsidR="00F8185F">
        <w:rPr>
          <w:rFonts w:ascii="Times New Roman" w:hAnsi="Times New Roman" w:cs="Times New Roman"/>
          <w:sz w:val="24"/>
          <w:szCs w:val="24"/>
        </w:rPr>
        <w:t xml:space="preserve"> of </w:t>
      </w:r>
      <w:r w:rsidR="00B31619">
        <w:rPr>
          <w:rFonts w:ascii="Times New Roman" w:hAnsi="Times New Roman" w:cs="Times New Roman"/>
          <w:sz w:val="24"/>
          <w:szCs w:val="24"/>
        </w:rPr>
        <w:t xml:space="preserve">practical </w:t>
      </w:r>
      <w:r w:rsidR="00F8185F">
        <w:rPr>
          <w:rFonts w:ascii="Times New Roman" w:hAnsi="Times New Roman" w:cs="Times New Roman"/>
          <w:sz w:val="24"/>
          <w:szCs w:val="24"/>
        </w:rPr>
        <w:t xml:space="preserve">viability </w:t>
      </w:r>
      <w:r w:rsidR="00B31619">
        <w:rPr>
          <w:rFonts w:ascii="Times New Roman" w:hAnsi="Times New Roman" w:cs="Times New Roman"/>
          <w:sz w:val="24"/>
          <w:szCs w:val="24"/>
        </w:rPr>
        <w:t>and</w:t>
      </w:r>
      <w:r w:rsidR="00F8185F">
        <w:rPr>
          <w:rFonts w:ascii="Times New Roman" w:hAnsi="Times New Roman" w:cs="Times New Roman"/>
          <w:sz w:val="24"/>
          <w:szCs w:val="24"/>
        </w:rPr>
        <w:t xml:space="preserve"> source</w:t>
      </w:r>
      <w:r w:rsidR="00B31619">
        <w:rPr>
          <w:rFonts w:ascii="Times New Roman" w:hAnsi="Times New Roman" w:cs="Times New Roman"/>
          <w:sz w:val="24"/>
          <w:szCs w:val="24"/>
        </w:rPr>
        <w:t>s</w:t>
      </w:r>
      <w:r w:rsidR="00F8185F">
        <w:rPr>
          <w:rFonts w:ascii="Times New Roman" w:hAnsi="Times New Roman" w:cs="Times New Roman"/>
          <w:sz w:val="24"/>
          <w:szCs w:val="24"/>
        </w:rPr>
        <w:t xml:space="preserve"> of support. </w:t>
      </w:r>
      <w:r w:rsidR="008740FE">
        <w:rPr>
          <w:rFonts w:ascii="Times New Roman" w:hAnsi="Times New Roman" w:cs="Times New Roman"/>
          <w:sz w:val="24"/>
          <w:szCs w:val="24"/>
        </w:rPr>
        <w:t>In this context, i</w:t>
      </w:r>
      <w:r w:rsidR="00B31619">
        <w:rPr>
          <w:rFonts w:ascii="Times New Roman" w:hAnsi="Times New Roman" w:cs="Times New Roman"/>
          <w:sz w:val="24"/>
          <w:szCs w:val="24"/>
        </w:rPr>
        <w:t xml:space="preserve">nternational actors </w:t>
      </w:r>
      <w:r w:rsidR="008740FE">
        <w:rPr>
          <w:rFonts w:ascii="Times New Roman" w:hAnsi="Times New Roman" w:cs="Times New Roman"/>
          <w:sz w:val="24"/>
          <w:szCs w:val="24"/>
        </w:rPr>
        <w:t xml:space="preserve">are </w:t>
      </w:r>
      <w:r w:rsidR="00862B18">
        <w:rPr>
          <w:rFonts w:ascii="Times New Roman" w:hAnsi="Times New Roman" w:cs="Times New Roman"/>
          <w:sz w:val="24"/>
          <w:szCs w:val="24"/>
        </w:rPr>
        <w:t xml:space="preserve">often </w:t>
      </w:r>
      <w:r w:rsidR="008740FE">
        <w:rPr>
          <w:rFonts w:ascii="Times New Roman" w:hAnsi="Times New Roman" w:cs="Times New Roman"/>
          <w:sz w:val="24"/>
          <w:szCs w:val="24"/>
        </w:rPr>
        <w:t>not ‘external’ but</w:t>
      </w:r>
      <w:r w:rsidR="00B31619">
        <w:rPr>
          <w:rFonts w:ascii="Times New Roman" w:hAnsi="Times New Roman" w:cs="Times New Roman"/>
          <w:sz w:val="24"/>
          <w:szCs w:val="24"/>
        </w:rPr>
        <w:t xml:space="preserve"> </w:t>
      </w:r>
      <w:r w:rsidR="008740FE">
        <w:rPr>
          <w:rFonts w:ascii="Times New Roman" w:hAnsi="Times New Roman" w:cs="Times New Roman"/>
          <w:sz w:val="24"/>
          <w:szCs w:val="24"/>
        </w:rPr>
        <w:t>integral</w:t>
      </w:r>
      <w:r w:rsidR="00B31619">
        <w:rPr>
          <w:rFonts w:ascii="Times New Roman" w:hAnsi="Times New Roman" w:cs="Times New Roman"/>
          <w:sz w:val="24"/>
          <w:szCs w:val="24"/>
        </w:rPr>
        <w:t xml:space="preserve"> to the process, </w:t>
      </w:r>
      <w:r w:rsidR="00ED221A">
        <w:rPr>
          <w:rFonts w:ascii="Times New Roman" w:hAnsi="Times New Roman" w:cs="Times New Roman"/>
          <w:sz w:val="24"/>
          <w:szCs w:val="24"/>
        </w:rPr>
        <w:t xml:space="preserve">seeking to </w:t>
      </w:r>
      <w:r w:rsidR="00B31619">
        <w:rPr>
          <w:rFonts w:ascii="Times New Roman" w:hAnsi="Times New Roman" w:cs="Times New Roman"/>
          <w:sz w:val="24"/>
          <w:szCs w:val="24"/>
        </w:rPr>
        <w:t>creat</w:t>
      </w:r>
      <w:r w:rsidR="00ED221A">
        <w:rPr>
          <w:rFonts w:ascii="Times New Roman" w:hAnsi="Times New Roman" w:cs="Times New Roman"/>
          <w:sz w:val="24"/>
          <w:szCs w:val="24"/>
        </w:rPr>
        <w:t>e</w:t>
      </w:r>
      <w:r w:rsidR="00B31619">
        <w:rPr>
          <w:rFonts w:ascii="Times New Roman" w:hAnsi="Times New Roman" w:cs="Times New Roman"/>
          <w:sz w:val="24"/>
          <w:szCs w:val="24"/>
        </w:rPr>
        <w:t xml:space="preserve"> preferences and determine outcomes in line with thei</w:t>
      </w:r>
      <w:r w:rsidR="008B79F5">
        <w:rPr>
          <w:rFonts w:ascii="Times New Roman" w:hAnsi="Times New Roman" w:cs="Times New Roman"/>
          <w:sz w:val="24"/>
          <w:szCs w:val="24"/>
        </w:rPr>
        <w:t>r own interests</w:t>
      </w:r>
      <w:r w:rsidR="00C36DDA">
        <w:rPr>
          <w:rFonts w:ascii="Times New Roman" w:hAnsi="Times New Roman" w:cs="Times New Roman"/>
          <w:sz w:val="24"/>
          <w:szCs w:val="24"/>
        </w:rPr>
        <w:t xml:space="preserve"> and ideas</w:t>
      </w:r>
      <w:r w:rsidR="008B79F5">
        <w:rPr>
          <w:rFonts w:ascii="Times New Roman" w:hAnsi="Times New Roman" w:cs="Times New Roman"/>
          <w:sz w:val="24"/>
          <w:szCs w:val="24"/>
        </w:rPr>
        <w:t>. The</w:t>
      </w:r>
      <w:r w:rsidR="008740FE">
        <w:rPr>
          <w:rFonts w:ascii="Times New Roman" w:hAnsi="Times New Roman" w:cs="Times New Roman"/>
          <w:sz w:val="24"/>
          <w:szCs w:val="24"/>
        </w:rPr>
        <w:t>ir</w:t>
      </w:r>
      <w:r w:rsidR="008B79F5">
        <w:rPr>
          <w:rFonts w:ascii="Times New Roman" w:hAnsi="Times New Roman" w:cs="Times New Roman"/>
          <w:sz w:val="24"/>
          <w:szCs w:val="24"/>
        </w:rPr>
        <w:t xml:space="preserve"> emphasis on the state and its institutions, on </w:t>
      </w:r>
      <w:r w:rsidR="000C17A4">
        <w:rPr>
          <w:rFonts w:ascii="Times New Roman" w:hAnsi="Times New Roman" w:cs="Times New Roman"/>
          <w:sz w:val="24"/>
          <w:szCs w:val="24"/>
        </w:rPr>
        <w:t>promoting</w:t>
      </w:r>
      <w:r w:rsidR="008B79F5">
        <w:rPr>
          <w:rFonts w:ascii="Times New Roman" w:hAnsi="Times New Roman" w:cs="Times New Roman"/>
          <w:sz w:val="24"/>
          <w:szCs w:val="24"/>
        </w:rPr>
        <w:t xml:space="preserve"> nation-building and an internationally brokered </w:t>
      </w:r>
      <w:r w:rsidR="000C17A4">
        <w:rPr>
          <w:rFonts w:ascii="Times New Roman" w:hAnsi="Times New Roman" w:cs="Times New Roman"/>
          <w:sz w:val="24"/>
          <w:szCs w:val="24"/>
        </w:rPr>
        <w:t>political compromise</w:t>
      </w:r>
      <w:r w:rsidR="002F13BC">
        <w:rPr>
          <w:rFonts w:ascii="Times New Roman" w:hAnsi="Times New Roman" w:cs="Times New Roman"/>
          <w:sz w:val="24"/>
          <w:szCs w:val="24"/>
        </w:rPr>
        <w:t xml:space="preserve">, </w:t>
      </w:r>
      <w:r w:rsidR="008B79F5">
        <w:rPr>
          <w:rFonts w:ascii="Times New Roman" w:hAnsi="Times New Roman" w:cs="Times New Roman"/>
          <w:sz w:val="24"/>
          <w:szCs w:val="24"/>
        </w:rPr>
        <w:t>as was the case in Bosnia</w:t>
      </w:r>
      <w:r w:rsidR="002F13BC">
        <w:rPr>
          <w:rFonts w:ascii="Times New Roman" w:hAnsi="Times New Roman" w:cs="Times New Roman"/>
          <w:sz w:val="24"/>
          <w:szCs w:val="24"/>
        </w:rPr>
        <w:t xml:space="preserve">, </w:t>
      </w:r>
      <w:r w:rsidR="002A35F5">
        <w:rPr>
          <w:rFonts w:ascii="Times New Roman" w:hAnsi="Times New Roman" w:cs="Times New Roman"/>
          <w:sz w:val="24"/>
          <w:szCs w:val="24"/>
        </w:rPr>
        <w:t xml:space="preserve">may </w:t>
      </w:r>
      <w:r w:rsidR="008B79F5">
        <w:rPr>
          <w:rFonts w:ascii="Times New Roman" w:hAnsi="Times New Roman" w:cs="Times New Roman"/>
          <w:sz w:val="24"/>
          <w:szCs w:val="24"/>
        </w:rPr>
        <w:t xml:space="preserve">not </w:t>
      </w:r>
      <w:r w:rsidR="002A35F5">
        <w:rPr>
          <w:rFonts w:ascii="Times New Roman" w:hAnsi="Times New Roman" w:cs="Times New Roman"/>
          <w:sz w:val="24"/>
          <w:szCs w:val="24"/>
        </w:rPr>
        <w:t xml:space="preserve">always </w:t>
      </w:r>
      <w:r w:rsidR="008B79F5">
        <w:rPr>
          <w:rFonts w:ascii="Times New Roman" w:hAnsi="Times New Roman" w:cs="Times New Roman"/>
          <w:sz w:val="24"/>
          <w:szCs w:val="24"/>
        </w:rPr>
        <w:t>represent the most productive way of confronting a difficult and contested past</w:t>
      </w:r>
      <w:r w:rsidR="00862B18">
        <w:rPr>
          <w:rFonts w:ascii="Times New Roman" w:hAnsi="Times New Roman" w:cs="Times New Roman"/>
          <w:sz w:val="24"/>
          <w:szCs w:val="24"/>
        </w:rPr>
        <w:t xml:space="preserve"> or addressing the needs of those who suffered the most</w:t>
      </w:r>
      <w:r w:rsidR="008B79F5">
        <w:rPr>
          <w:rFonts w:ascii="Times New Roman" w:hAnsi="Times New Roman" w:cs="Times New Roman"/>
          <w:sz w:val="24"/>
          <w:szCs w:val="24"/>
        </w:rPr>
        <w:t xml:space="preserve">. In deeply divided </w:t>
      </w:r>
      <w:r w:rsidR="00ED221A">
        <w:rPr>
          <w:rFonts w:ascii="Times New Roman" w:hAnsi="Times New Roman" w:cs="Times New Roman"/>
          <w:sz w:val="24"/>
          <w:szCs w:val="24"/>
        </w:rPr>
        <w:t xml:space="preserve">countries where </w:t>
      </w:r>
      <w:r w:rsidR="008740FE">
        <w:rPr>
          <w:rFonts w:ascii="Times New Roman" w:hAnsi="Times New Roman" w:cs="Times New Roman"/>
          <w:sz w:val="24"/>
          <w:szCs w:val="24"/>
        </w:rPr>
        <w:t xml:space="preserve">official truth </w:t>
      </w:r>
      <w:r w:rsidR="00852CEB">
        <w:rPr>
          <w:rFonts w:ascii="Times New Roman" w:hAnsi="Times New Roman" w:cs="Times New Roman"/>
          <w:sz w:val="24"/>
          <w:szCs w:val="24"/>
        </w:rPr>
        <w:t>and reconciliation</w:t>
      </w:r>
      <w:r w:rsidR="008740FE">
        <w:rPr>
          <w:rFonts w:ascii="Times New Roman" w:hAnsi="Times New Roman" w:cs="Times New Roman"/>
          <w:sz w:val="24"/>
          <w:szCs w:val="24"/>
        </w:rPr>
        <w:t xml:space="preserve"> initiatives</w:t>
      </w:r>
      <w:r w:rsidR="00ED221A">
        <w:rPr>
          <w:rFonts w:ascii="Times New Roman" w:hAnsi="Times New Roman" w:cs="Times New Roman"/>
          <w:sz w:val="24"/>
          <w:szCs w:val="24"/>
        </w:rPr>
        <w:t xml:space="preserve"> </w:t>
      </w:r>
      <w:r w:rsidR="008D0C0B">
        <w:rPr>
          <w:rFonts w:ascii="Times New Roman" w:hAnsi="Times New Roman" w:cs="Times New Roman"/>
          <w:sz w:val="24"/>
          <w:szCs w:val="24"/>
        </w:rPr>
        <w:t>may not</w:t>
      </w:r>
      <w:r w:rsidR="00ED221A">
        <w:rPr>
          <w:rFonts w:ascii="Times New Roman" w:hAnsi="Times New Roman" w:cs="Times New Roman"/>
          <w:sz w:val="24"/>
          <w:szCs w:val="24"/>
        </w:rPr>
        <w:t xml:space="preserve"> be viewed as legitimate or </w:t>
      </w:r>
      <w:r w:rsidR="00C36DDA">
        <w:rPr>
          <w:rFonts w:ascii="Times New Roman" w:hAnsi="Times New Roman" w:cs="Times New Roman"/>
          <w:sz w:val="24"/>
          <w:szCs w:val="24"/>
        </w:rPr>
        <w:t xml:space="preserve">able to </w:t>
      </w:r>
      <w:r w:rsidR="00ED221A">
        <w:rPr>
          <w:rFonts w:ascii="Times New Roman" w:hAnsi="Times New Roman" w:cs="Times New Roman"/>
          <w:sz w:val="24"/>
          <w:szCs w:val="24"/>
        </w:rPr>
        <w:t>succeed</w:t>
      </w:r>
      <w:r w:rsidR="008B79F5">
        <w:rPr>
          <w:rFonts w:ascii="Times New Roman" w:hAnsi="Times New Roman" w:cs="Times New Roman"/>
          <w:sz w:val="24"/>
          <w:szCs w:val="24"/>
        </w:rPr>
        <w:t>, ‘unofficial truth projects’</w:t>
      </w:r>
      <w:r w:rsidR="00FE02D1">
        <w:rPr>
          <w:rFonts w:ascii="Times New Roman" w:hAnsi="Times New Roman" w:cs="Times New Roman"/>
          <w:sz w:val="24"/>
          <w:szCs w:val="24"/>
        </w:rPr>
        <w:t xml:space="preserve"> </w:t>
      </w:r>
      <w:r w:rsidR="008B79F5">
        <w:rPr>
          <w:rFonts w:ascii="Times New Roman" w:hAnsi="Times New Roman" w:cs="Times New Roman"/>
          <w:sz w:val="24"/>
          <w:szCs w:val="24"/>
        </w:rPr>
        <w:t xml:space="preserve">and </w:t>
      </w:r>
      <w:r w:rsidR="00F922F9">
        <w:rPr>
          <w:rFonts w:ascii="Times New Roman" w:hAnsi="Times New Roman" w:cs="Times New Roman"/>
          <w:sz w:val="24"/>
          <w:szCs w:val="24"/>
        </w:rPr>
        <w:t xml:space="preserve">civil society </w:t>
      </w:r>
      <w:r w:rsidR="008B79F5">
        <w:rPr>
          <w:rFonts w:ascii="Times New Roman" w:hAnsi="Times New Roman" w:cs="Times New Roman"/>
          <w:sz w:val="24"/>
          <w:szCs w:val="24"/>
        </w:rPr>
        <w:t>networks</w:t>
      </w:r>
      <w:r w:rsidR="00FE02D1">
        <w:rPr>
          <w:rFonts w:ascii="Times New Roman" w:hAnsi="Times New Roman" w:cs="Times New Roman"/>
          <w:sz w:val="24"/>
          <w:szCs w:val="24"/>
        </w:rPr>
        <w:t xml:space="preserve"> operating </w:t>
      </w:r>
      <w:r w:rsidR="00AD1648">
        <w:rPr>
          <w:rFonts w:ascii="Times New Roman" w:hAnsi="Times New Roman" w:cs="Times New Roman"/>
          <w:sz w:val="24"/>
          <w:szCs w:val="24"/>
        </w:rPr>
        <w:t xml:space="preserve">both </w:t>
      </w:r>
      <w:r w:rsidR="00FE02D1">
        <w:rPr>
          <w:rFonts w:ascii="Times New Roman" w:hAnsi="Times New Roman" w:cs="Times New Roman"/>
          <w:sz w:val="24"/>
          <w:szCs w:val="24"/>
        </w:rPr>
        <w:t xml:space="preserve">on the sub-state level and across </w:t>
      </w:r>
      <w:r w:rsidR="00AD1648">
        <w:rPr>
          <w:rFonts w:ascii="Times New Roman" w:hAnsi="Times New Roman" w:cs="Times New Roman"/>
          <w:sz w:val="24"/>
          <w:szCs w:val="24"/>
        </w:rPr>
        <w:t>state</w:t>
      </w:r>
      <w:r w:rsidR="00FE02D1">
        <w:rPr>
          <w:rFonts w:ascii="Times New Roman" w:hAnsi="Times New Roman" w:cs="Times New Roman"/>
          <w:sz w:val="24"/>
          <w:szCs w:val="24"/>
        </w:rPr>
        <w:t xml:space="preserve"> boundaries may provide a </w:t>
      </w:r>
      <w:r w:rsidR="002F13BC">
        <w:rPr>
          <w:rFonts w:ascii="Times New Roman" w:hAnsi="Times New Roman" w:cs="Times New Roman"/>
          <w:sz w:val="24"/>
          <w:szCs w:val="24"/>
        </w:rPr>
        <w:t>better—or indeed the only—</w:t>
      </w:r>
      <w:r w:rsidR="00AD1648">
        <w:rPr>
          <w:rFonts w:ascii="Times New Roman" w:hAnsi="Times New Roman" w:cs="Times New Roman"/>
          <w:sz w:val="24"/>
          <w:szCs w:val="24"/>
        </w:rPr>
        <w:t>alternative</w:t>
      </w:r>
      <w:r w:rsidR="00FE02D1">
        <w:rPr>
          <w:rFonts w:ascii="Times New Roman" w:hAnsi="Times New Roman" w:cs="Times New Roman"/>
          <w:sz w:val="24"/>
          <w:szCs w:val="24"/>
        </w:rPr>
        <w:t>.</w:t>
      </w:r>
      <w:r w:rsidR="00FE02D1">
        <w:rPr>
          <w:rStyle w:val="FootnoteReference"/>
          <w:rFonts w:ascii="Times New Roman" w:hAnsi="Times New Roman" w:cs="Times New Roman"/>
          <w:sz w:val="24"/>
          <w:szCs w:val="24"/>
        </w:rPr>
        <w:footnoteReference w:id="97"/>
      </w:r>
      <w:r w:rsidR="008B79F5">
        <w:rPr>
          <w:rFonts w:ascii="Times New Roman" w:hAnsi="Times New Roman" w:cs="Times New Roman"/>
          <w:sz w:val="24"/>
          <w:szCs w:val="24"/>
        </w:rPr>
        <w:t xml:space="preserve"> </w:t>
      </w:r>
    </w:p>
    <w:sectPr w:rsidR="00E149A8" w:rsidSect="00A601C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86" w:rsidRDefault="00D25C86" w:rsidP="00304F75">
      <w:pPr>
        <w:spacing w:after="0"/>
      </w:pPr>
      <w:r>
        <w:separator/>
      </w:r>
    </w:p>
  </w:endnote>
  <w:endnote w:type="continuationSeparator" w:id="0">
    <w:p w:rsidR="00D25C86" w:rsidRDefault="00D25C86" w:rsidP="00304F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86" w:rsidRDefault="00D25C86" w:rsidP="00304F75">
      <w:pPr>
        <w:spacing w:after="0"/>
      </w:pPr>
      <w:r>
        <w:separator/>
      </w:r>
    </w:p>
  </w:footnote>
  <w:footnote w:type="continuationSeparator" w:id="0">
    <w:p w:rsidR="00D25C86" w:rsidRDefault="00D25C86" w:rsidP="00304F75">
      <w:pPr>
        <w:spacing w:after="0"/>
      </w:pPr>
      <w:r>
        <w:continuationSeparator/>
      </w:r>
    </w:p>
  </w:footnote>
  <w:footnote w:id="1">
    <w:p w:rsidR="004A23FA" w:rsidRDefault="004A23FA" w:rsidP="00B852FE">
      <w:pPr>
        <w:pStyle w:val="FootnoteText"/>
      </w:pPr>
      <w:r>
        <w:rPr>
          <w:rStyle w:val="FootnoteReference"/>
        </w:rPr>
        <w:footnoteRef/>
      </w:r>
      <w:r>
        <w:t xml:space="preserve"> Pablo de Greiff, Report of the Special Rapporteur on the promotion of truth, justice, reparation and guarantees of non-recurrence’, UN Human Rights Council,</w:t>
      </w:r>
      <w:r w:rsidRPr="00236A08">
        <w:t xml:space="preserve"> </w:t>
      </w:r>
      <w:r>
        <w:t xml:space="preserve">A/HRC/”4/42, 28 Aug. 2013. See also </w:t>
      </w:r>
      <w:r w:rsidRPr="006F7801">
        <w:rPr>
          <w:i/>
        </w:rPr>
        <w:t>Challenging the Conventional: Can Truth Commissions Strengthen Peace Processes?</w:t>
      </w:r>
      <w:r>
        <w:t xml:space="preserve"> (New York: International Center for Transitional Justice and Koffi Annan Foundation, 2014). </w:t>
      </w:r>
    </w:p>
  </w:footnote>
  <w:footnote w:id="2">
    <w:p w:rsidR="004A23FA" w:rsidRDefault="004A23FA" w:rsidP="00B852FE">
      <w:pPr>
        <w:pStyle w:val="FootnoteText"/>
      </w:pPr>
      <w:r>
        <w:rPr>
          <w:rStyle w:val="FootnoteReference"/>
        </w:rPr>
        <w:footnoteRef/>
      </w:r>
      <w:r>
        <w:t xml:space="preserve"> Juan E. Mendez, ‘National Reconciliation, Transnational Justice, and the International Criminal Court’</w:t>
      </w:r>
      <w:r w:rsidRPr="00EA18F5">
        <w:rPr>
          <w:i/>
        </w:rPr>
        <w:t>, Ethics and International Affairs</w:t>
      </w:r>
      <w:r>
        <w:t xml:space="preserve">, 15(1), 2001: 29. See also Kofi Annan, Foreword, </w:t>
      </w:r>
      <w:r w:rsidRPr="006F7801">
        <w:rPr>
          <w:i/>
        </w:rPr>
        <w:t>Challenging the Conventional</w:t>
      </w:r>
      <w:r>
        <w:t>, supra note 1: v.</w:t>
      </w:r>
    </w:p>
  </w:footnote>
  <w:footnote w:id="3">
    <w:p w:rsidR="004A23FA" w:rsidRDefault="004A23FA">
      <w:pPr>
        <w:pStyle w:val="FootnoteText"/>
      </w:pPr>
      <w:r>
        <w:rPr>
          <w:rStyle w:val="FootnoteReference"/>
        </w:rPr>
        <w:footnoteRef/>
      </w:r>
      <w:r>
        <w:t xml:space="preserve"> </w:t>
      </w:r>
      <w:r w:rsidRPr="004265A4">
        <w:t xml:space="preserve">Priscilla B. Hayner, </w:t>
      </w:r>
      <w:r w:rsidRPr="004265A4">
        <w:rPr>
          <w:i/>
        </w:rPr>
        <w:t>Unspeakable Truths: Facing the Challenge of Truth Commissions,</w:t>
      </w:r>
      <w:r w:rsidRPr="004265A4">
        <w:t xml:space="preserve"> (Routledge, 2</w:t>
      </w:r>
      <w:r w:rsidRPr="004265A4">
        <w:rPr>
          <w:vertAlign w:val="superscript"/>
        </w:rPr>
        <w:t>nd</w:t>
      </w:r>
      <w:r w:rsidRPr="004265A4">
        <w:t xml:space="preserve"> ed, 2011)</w:t>
      </w:r>
      <w:r>
        <w:t>.</w:t>
      </w:r>
    </w:p>
  </w:footnote>
  <w:footnote w:id="4">
    <w:p w:rsidR="004A23FA" w:rsidRPr="00E15408" w:rsidRDefault="004A23FA" w:rsidP="00945EDE">
      <w:pPr>
        <w:spacing w:after="0"/>
      </w:pPr>
      <w:r>
        <w:rPr>
          <w:rStyle w:val="FootnoteReference"/>
        </w:rPr>
        <w:footnoteRef/>
      </w:r>
      <w:r>
        <w:t xml:space="preserve"> </w:t>
      </w:r>
      <w:r w:rsidRPr="00945EDE">
        <w:rPr>
          <w:sz w:val="20"/>
          <w:szCs w:val="20"/>
        </w:rPr>
        <w:t>Erin Daly</w:t>
      </w:r>
      <w:r>
        <w:rPr>
          <w:sz w:val="20"/>
          <w:szCs w:val="20"/>
        </w:rPr>
        <w:t xml:space="preserve">, </w:t>
      </w:r>
      <w:r w:rsidRPr="00945EDE">
        <w:rPr>
          <w:sz w:val="20"/>
          <w:szCs w:val="20"/>
        </w:rPr>
        <w:t xml:space="preserve">‘Truth Skepticism: An Inquiry into the Value of Truth in Times of Transition’, </w:t>
      </w:r>
      <w:r w:rsidRPr="00945EDE">
        <w:rPr>
          <w:i/>
          <w:sz w:val="20"/>
          <w:szCs w:val="20"/>
        </w:rPr>
        <w:t>International Journal of Transitional Justice</w:t>
      </w:r>
      <w:r w:rsidRPr="00945EDE">
        <w:rPr>
          <w:sz w:val="20"/>
          <w:szCs w:val="20"/>
        </w:rPr>
        <w:t xml:space="preserve">, 2, 2008, pp. 23-41. See also David Mendeloff, ‘Truth-Seeking, Truth-Telling, and Post-Conflict Peacebuilding: Curb the Enthusiasm?’ </w:t>
      </w:r>
      <w:r w:rsidRPr="00945EDE">
        <w:rPr>
          <w:rStyle w:val="Emphasis"/>
          <w:sz w:val="20"/>
          <w:szCs w:val="20"/>
        </w:rPr>
        <w:t>International Studies Review</w:t>
      </w:r>
      <w:r w:rsidRPr="00945EDE">
        <w:rPr>
          <w:sz w:val="20"/>
          <w:szCs w:val="20"/>
        </w:rPr>
        <w:t xml:space="preserve">, 6, 2004, pp. 355-380. Useful overviews can be found in: Hayner (supra n </w:t>
      </w:r>
      <w:r>
        <w:rPr>
          <w:sz w:val="20"/>
          <w:szCs w:val="20"/>
        </w:rPr>
        <w:t>3</w:t>
      </w:r>
      <w:r w:rsidRPr="00945EDE">
        <w:rPr>
          <w:sz w:val="20"/>
          <w:szCs w:val="20"/>
        </w:rPr>
        <w:t xml:space="preserve">); Eric Wiebelhaus-Brahm, </w:t>
      </w:r>
      <w:r w:rsidRPr="00945EDE">
        <w:rPr>
          <w:i/>
          <w:sz w:val="20"/>
          <w:szCs w:val="20"/>
        </w:rPr>
        <w:t>Truth Commissions and Transitional Societies: The Impact on Human Rights and Democracy</w:t>
      </w:r>
      <w:r w:rsidRPr="00945EDE">
        <w:rPr>
          <w:sz w:val="20"/>
          <w:szCs w:val="20"/>
        </w:rPr>
        <w:t xml:space="preserve"> (Abingdon: Routledge, 2010); Tricia Olsen, Leigh Payne and Andrew Reiter, </w:t>
      </w:r>
      <w:r w:rsidRPr="00945EDE">
        <w:rPr>
          <w:i/>
          <w:sz w:val="20"/>
          <w:szCs w:val="20"/>
        </w:rPr>
        <w:t>Transitional Justice in Balance: Comparing Processes, Weighing Efficacy</w:t>
      </w:r>
      <w:r w:rsidRPr="00945EDE">
        <w:rPr>
          <w:sz w:val="20"/>
          <w:szCs w:val="20"/>
        </w:rPr>
        <w:t xml:space="preserve"> (Washington, USIP, 2010); and Mark Freeman, </w:t>
      </w:r>
      <w:r w:rsidRPr="00945EDE">
        <w:rPr>
          <w:i/>
          <w:sz w:val="20"/>
          <w:szCs w:val="20"/>
        </w:rPr>
        <w:t>Truth Commissions and Procedural Fairness</w:t>
      </w:r>
      <w:r w:rsidRPr="00945EDE">
        <w:rPr>
          <w:sz w:val="20"/>
          <w:szCs w:val="20"/>
        </w:rPr>
        <w:t xml:space="preserve"> (New York Cambridge University Press, 2006). The 2013 symposium on </w:t>
      </w:r>
      <w:r w:rsidRPr="00945EDE">
        <w:rPr>
          <w:i/>
          <w:sz w:val="20"/>
          <w:szCs w:val="20"/>
        </w:rPr>
        <w:t xml:space="preserve">Challenging the Conventional </w:t>
      </w:r>
      <w:r w:rsidRPr="00945EDE">
        <w:rPr>
          <w:sz w:val="20"/>
          <w:szCs w:val="20"/>
        </w:rPr>
        <w:t>(supra n 1) specifically focused on the reasons why truth commissions may fail to fulfil their mandates.</w:t>
      </w:r>
    </w:p>
  </w:footnote>
  <w:footnote w:id="5">
    <w:p w:rsidR="004A23FA" w:rsidRDefault="004A23FA">
      <w:pPr>
        <w:pStyle w:val="FootnoteText"/>
      </w:pPr>
      <w:r>
        <w:rPr>
          <w:rStyle w:val="FootnoteReference"/>
        </w:rPr>
        <w:footnoteRef/>
      </w:r>
      <w:r>
        <w:t xml:space="preserve"> Henceforth ‘Bosnia’ will be used as short-hand for ‘Bosnia and Herzegovina’.</w:t>
      </w:r>
    </w:p>
  </w:footnote>
  <w:footnote w:id="6">
    <w:p w:rsidR="004A23FA" w:rsidRDefault="004A23FA" w:rsidP="00023D7B">
      <w:pPr>
        <w:pStyle w:val="FootnoteText"/>
      </w:pPr>
      <w:r>
        <w:rPr>
          <w:rStyle w:val="FootnoteReference"/>
        </w:rPr>
        <w:footnoteRef/>
      </w:r>
      <w:r>
        <w:t xml:space="preserve"> </w:t>
      </w:r>
      <w:r w:rsidRPr="00B003B3">
        <w:rPr>
          <w:rFonts w:cs="Times New Roman"/>
        </w:rPr>
        <w:t xml:space="preserve">While a national truth commission remains part of Bosnia’s official transitional justice strategy, it is unlikely </w:t>
      </w:r>
      <w:r>
        <w:rPr>
          <w:rFonts w:cs="Times New Roman"/>
        </w:rPr>
        <w:t>to</w:t>
      </w:r>
      <w:r w:rsidRPr="00B003B3">
        <w:rPr>
          <w:rFonts w:cs="Times New Roman"/>
        </w:rPr>
        <w:t xml:space="preserve"> materialize in the foreseeable future.</w:t>
      </w:r>
      <w:r>
        <w:rPr>
          <w:rFonts w:cs="Times New Roman"/>
        </w:rPr>
        <w:t xml:space="preserve"> </w:t>
      </w:r>
      <w:r w:rsidR="00D3296E">
        <w:t>The process is indefinitely on hold since 2012.</w:t>
      </w:r>
      <w:r w:rsidR="00D3296E">
        <w:rPr>
          <w:rFonts w:cs="Times New Roman"/>
        </w:rPr>
        <w:t xml:space="preserve"> </w:t>
      </w:r>
      <w:r>
        <w:rPr>
          <w:rFonts w:cs="Times New Roman"/>
        </w:rPr>
        <w:t>(</w:t>
      </w:r>
      <w:r>
        <w:t xml:space="preserve">‘Strategija tranzicijske pravde u Bosni i Hercegovini, 2012-2016. Radni tekst’, document in possession of the author and author’s interviews with members of the Bosnian Council of Ministers working group on the national transitional justice strategy, Sarajevo, 20 May 2013.) </w:t>
      </w:r>
    </w:p>
  </w:footnote>
  <w:footnote w:id="7">
    <w:p w:rsidR="004A23FA" w:rsidRDefault="004A23FA">
      <w:pPr>
        <w:pStyle w:val="FootnoteText"/>
      </w:pPr>
      <w:r>
        <w:rPr>
          <w:rStyle w:val="FootnoteReference"/>
        </w:rPr>
        <w:footnoteRef/>
      </w:r>
      <w:r>
        <w:t xml:space="preserve"> This work thus belongs methodologically to what is known as ‘contemporary history’, relying on a multiplicity of sources rather than on archival work. </w:t>
      </w:r>
      <w:r w:rsidR="0025259E">
        <w:t>See</w:t>
      </w:r>
      <w:r>
        <w:t xml:space="preserve"> Timothy Garton Ash, </w:t>
      </w:r>
      <w:r w:rsidRPr="00393FE4">
        <w:rPr>
          <w:i/>
        </w:rPr>
        <w:t>History of the Present: Essays, Sketches and Despatches from Europe in the 1990s</w:t>
      </w:r>
      <w:r>
        <w:t xml:space="preserve">  (Allen Layne, 1999).  On the historiographical debates produced by the expansion and diversification of the discipline of history, see </w:t>
      </w:r>
      <w:r w:rsidRPr="003613E2">
        <w:rPr>
          <w:i/>
        </w:rPr>
        <w:t>New Perspectives on Historical Writing</w:t>
      </w:r>
      <w:r>
        <w:t xml:space="preserve">, ed. Peter Burke (Polity Press 2001). Some social scientists also recognise the value of this type of work. As the sociologist Bent Flyvbjerg notes: ‘Case studies often contain a substantial element of narrative. Good narratives typically approach the complexities and contradictions of real life. Accordingly, such narratives may be difficult or impossible to summarize into neat scientific formulae, general propositions, and theories.’ (Bent Flyvbjerg, ‘Five misunderstandings about Case-Study Research’, </w:t>
      </w:r>
      <w:r w:rsidRPr="00877147">
        <w:rPr>
          <w:i/>
        </w:rPr>
        <w:t>Qualitative Inquiry</w:t>
      </w:r>
      <w:r>
        <w:t xml:space="preserve"> 12/2, Apr. 2006: 237)</w:t>
      </w:r>
    </w:p>
  </w:footnote>
  <w:footnote w:id="8">
    <w:p w:rsidR="004A23FA" w:rsidRDefault="004A23FA" w:rsidP="003B1DFF">
      <w:pPr>
        <w:pStyle w:val="FootnoteText"/>
      </w:pPr>
      <w:r>
        <w:rPr>
          <w:rStyle w:val="FootnoteReference"/>
        </w:rPr>
        <w:footnoteRef/>
      </w:r>
      <w:r>
        <w:t xml:space="preserve"> These include unpublished drafts of the proposed Bosnian TRC Statutes and laws, press releases about the project by various local and external institutions, and dispatches from the US Embassy in Sarajevo to the State Department (as published by Wikileaks).</w:t>
      </w:r>
    </w:p>
  </w:footnote>
  <w:footnote w:id="9">
    <w:p w:rsidR="004A23FA" w:rsidRDefault="004A23FA">
      <w:pPr>
        <w:pStyle w:val="FootnoteText"/>
      </w:pPr>
      <w:r>
        <w:rPr>
          <w:rStyle w:val="FootnoteReference"/>
        </w:rPr>
        <w:footnoteRef/>
      </w:r>
      <w:r>
        <w:t xml:space="preserve"> On the evolution of thinking among transitional justice scholars and practitioners, see Naomi Roht-Arriaza, ‘The New Landscape of Transitional Justice’ in </w:t>
      </w:r>
      <w:r w:rsidRPr="004779DE">
        <w:rPr>
          <w:i/>
        </w:rPr>
        <w:t>Transitional Justice in the Twenty-First Century</w:t>
      </w:r>
      <w:r w:rsidRPr="00C24F66">
        <w:t xml:space="preserve">, </w:t>
      </w:r>
      <w:r>
        <w:t>eds Naomi Roht-Arriaza and Javier Mariezcurrena (Cambridge University Press, 2006): 1-16.</w:t>
      </w:r>
      <w:r w:rsidRPr="00B0295B">
        <w:t xml:space="preserve"> </w:t>
      </w:r>
      <w:r>
        <w:t xml:space="preserve">On the broader debate, see notably </w:t>
      </w:r>
      <w:r w:rsidRPr="00B8608C">
        <w:rPr>
          <w:i/>
        </w:rPr>
        <w:t>Truth v.</w:t>
      </w:r>
      <w:r>
        <w:rPr>
          <w:i/>
        </w:rPr>
        <w:t xml:space="preserve"> Justice: The Morality of Truth </w:t>
      </w:r>
      <w:r w:rsidRPr="00B8608C">
        <w:rPr>
          <w:i/>
        </w:rPr>
        <w:t>Commissions</w:t>
      </w:r>
      <w:r w:rsidRPr="00B8608C">
        <w:t xml:space="preserve">, </w:t>
      </w:r>
      <w:r>
        <w:t xml:space="preserve">eds </w:t>
      </w:r>
      <w:r w:rsidRPr="00B8608C">
        <w:t xml:space="preserve">Robert </w:t>
      </w:r>
      <w:r>
        <w:t>I. Rotberg and Dennis Thompson (</w:t>
      </w:r>
      <w:r w:rsidRPr="00B8608C">
        <w:t>P</w:t>
      </w:r>
      <w:r>
        <w:t xml:space="preserve">rinceton University Press, </w:t>
      </w:r>
      <w:r w:rsidRPr="009302EB">
        <w:t>2000</w:t>
      </w:r>
      <w:r>
        <w:t>).</w:t>
      </w:r>
    </w:p>
  </w:footnote>
  <w:footnote w:id="10">
    <w:p w:rsidR="004A23FA" w:rsidRPr="006A7E05" w:rsidRDefault="004A23FA">
      <w:pPr>
        <w:pStyle w:val="FootnoteText"/>
        <w:rPr>
          <w:sz w:val="22"/>
          <w:szCs w:val="22"/>
        </w:rPr>
      </w:pPr>
      <w:r w:rsidRPr="000C323F">
        <w:rPr>
          <w:rStyle w:val="FootnoteReference"/>
        </w:rPr>
        <w:footnoteRef/>
      </w:r>
      <w:r w:rsidRPr="000C323F">
        <w:t xml:space="preserve"> </w:t>
      </w:r>
      <w:r w:rsidRPr="000C323F">
        <w:rPr>
          <w:rFonts w:cs="Times New Roman"/>
        </w:rPr>
        <w:t xml:space="preserve">The 1992-1995 Bosnian War </w:t>
      </w:r>
      <w:r>
        <w:rPr>
          <w:rFonts w:cs="Times New Roman"/>
        </w:rPr>
        <w:t>led to some</w:t>
      </w:r>
      <w:r w:rsidR="00BC7FF7">
        <w:rPr>
          <w:rFonts w:cs="Times New Roman"/>
        </w:rPr>
        <w:t xml:space="preserve"> 100,000 direct war deaths, </w:t>
      </w:r>
      <w:r w:rsidRPr="000C323F">
        <w:rPr>
          <w:rFonts w:cs="Times New Roman"/>
        </w:rPr>
        <w:t xml:space="preserve">40% </w:t>
      </w:r>
      <w:r>
        <w:rPr>
          <w:rFonts w:cs="Times New Roman"/>
        </w:rPr>
        <w:t xml:space="preserve">of which </w:t>
      </w:r>
      <w:r w:rsidRPr="000C323F">
        <w:rPr>
          <w:rFonts w:cs="Times New Roman"/>
        </w:rPr>
        <w:t xml:space="preserve">were civilian. </w:t>
      </w:r>
      <w:r>
        <w:rPr>
          <w:rFonts w:cs="Times New Roman"/>
        </w:rPr>
        <w:t>(</w:t>
      </w:r>
      <w:r w:rsidRPr="000C323F">
        <w:t>Figures generated by  the Research and D</w:t>
      </w:r>
      <w:r>
        <w:t xml:space="preserve">ocumentation Centre in Sarajevo. </w:t>
      </w:r>
      <w:hyperlink r:id="rId1" w:history="1">
        <w:r w:rsidRPr="00095AFC">
          <w:rPr>
            <w:rStyle w:val="Hyperlink"/>
          </w:rPr>
          <w:t>http:///www.idc.org</w:t>
        </w:r>
      </w:hyperlink>
      <w:r>
        <w:rPr>
          <w:rStyle w:val="Hyperlink"/>
        </w:rPr>
        <w:t>)</w:t>
      </w:r>
    </w:p>
  </w:footnote>
  <w:footnote w:id="11">
    <w:p w:rsidR="004A23FA" w:rsidRDefault="004A23FA" w:rsidP="00237907">
      <w:pPr>
        <w:pStyle w:val="FootnoteText"/>
      </w:pPr>
      <w:r>
        <w:rPr>
          <w:rStyle w:val="FootnoteReference"/>
        </w:rPr>
        <w:footnoteRef/>
      </w:r>
      <w:r>
        <w:t xml:space="preserve"> Herman Schwartz, ‘What can we do about Balkan atrocities?’ </w:t>
      </w:r>
      <w:r w:rsidRPr="00B454A3">
        <w:rPr>
          <w:i/>
        </w:rPr>
        <w:t>The New York Times</w:t>
      </w:r>
      <w:r>
        <w:t>, Apr. 9, 1993.</w:t>
      </w:r>
    </w:p>
  </w:footnote>
  <w:footnote w:id="12">
    <w:p w:rsidR="004A23FA" w:rsidRDefault="004A23FA">
      <w:pPr>
        <w:pStyle w:val="FootnoteText"/>
      </w:pPr>
      <w:r>
        <w:rPr>
          <w:rStyle w:val="FootnoteReference"/>
        </w:rPr>
        <w:footnoteRef/>
      </w:r>
      <w:r>
        <w:t xml:space="preserve"> Aryeh Neier, ‘Rethinking Truth, Justice, and Guilt after Bosnia and Rwanda’, in </w:t>
      </w:r>
      <w:r w:rsidRPr="00493B4A">
        <w:rPr>
          <w:i/>
        </w:rPr>
        <w:t>Human Rights in Political Transitions: Gettysburg to Bosnia</w:t>
      </w:r>
      <w:r>
        <w:t xml:space="preserve"> ed. Carla Hesse and Robert Post, (New York; Zone Books, 1999): 42-43. A summary of the Neier-Schwartz debate can be found in, </w:t>
      </w:r>
      <w:r w:rsidRPr="00655A2E">
        <w:rPr>
          <w:i/>
        </w:rPr>
        <w:t>Human Rights Brief</w:t>
      </w:r>
      <w:r>
        <w:t xml:space="preserve">, 1(1) 1994, Washington College of Law, American University. </w:t>
      </w:r>
    </w:p>
  </w:footnote>
  <w:footnote w:id="13">
    <w:p w:rsidR="004A23FA" w:rsidRDefault="004A23FA">
      <w:pPr>
        <w:pStyle w:val="FootnoteText"/>
      </w:pPr>
      <w:r>
        <w:rPr>
          <w:rStyle w:val="FootnoteReference"/>
        </w:rPr>
        <w:footnoteRef/>
      </w:r>
      <w:r>
        <w:t xml:space="preserve"> </w:t>
      </w:r>
      <w:r w:rsidRPr="0007466F">
        <w:t xml:space="preserve">Side letters </w:t>
      </w:r>
      <w:r>
        <w:t xml:space="preserve">of 13 Dec. 1995 </w:t>
      </w:r>
      <w:r w:rsidRPr="0007466F">
        <w:t xml:space="preserve">to the General Framework of Agreement for Peace in Bosnia and Herzegovina. </w:t>
      </w:r>
      <w:hyperlink r:id="rId2" w:history="1">
        <w:r w:rsidRPr="0050133F">
          <w:rPr>
            <w:rStyle w:val="Hyperlink"/>
          </w:rPr>
          <w:t>http://www1.umn.edu/humanrts/icty/dayton/daytonsidelet.html</w:t>
        </w:r>
      </w:hyperlink>
      <w:r>
        <w:t xml:space="preserve"> </w:t>
      </w:r>
    </w:p>
  </w:footnote>
  <w:footnote w:id="14">
    <w:p w:rsidR="004A23FA" w:rsidRDefault="004A23FA" w:rsidP="00104FD4">
      <w:pPr>
        <w:pStyle w:val="FootnoteText"/>
      </w:pPr>
      <w:r>
        <w:rPr>
          <w:rStyle w:val="FootnoteReference"/>
        </w:rPr>
        <w:footnoteRef/>
      </w:r>
      <w:r>
        <w:t xml:space="preserve"> This was noted by all the author’s interviewees, Sarajevo, May-June 2009.</w:t>
      </w:r>
      <w:r w:rsidRPr="00BA6941">
        <w:t xml:space="preserve"> </w:t>
      </w:r>
      <w:r>
        <w:t xml:space="preserve"> On the global impact of the South African TRC see Alex Boraine, ‘South Africa’s Truth and Reconciliation Commission from a Global Perspective’, in </w:t>
      </w:r>
      <w:r w:rsidRPr="00EB1241">
        <w:rPr>
          <w:i/>
        </w:rPr>
        <w:t>Peace versus Justice: The Dilemma of Transitional Justice in Africa</w:t>
      </w:r>
      <w:r>
        <w:rPr>
          <w:i/>
        </w:rPr>
        <w:t>,</w:t>
      </w:r>
      <w:r>
        <w:t xml:space="preserve"> ed. Chandra Lekha Sriram and Suren Pillay (Scottsville: University of KwaZulu-Natal Press, 2009): 137-52.</w:t>
      </w:r>
    </w:p>
  </w:footnote>
  <w:footnote w:id="15">
    <w:p w:rsidR="004A23FA" w:rsidRDefault="004A23FA">
      <w:pPr>
        <w:pStyle w:val="FootnoteText"/>
      </w:pPr>
      <w:r>
        <w:rPr>
          <w:rStyle w:val="FootnoteReference"/>
        </w:rPr>
        <w:footnoteRef/>
      </w:r>
      <w:r>
        <w:t xml:space="preserve"> Goldstone and Boraine took part in an international conference dedicated to the creation of a truth and reconciliation commission for Bosnia in Sarajevo in February 2000. (‘Okrugli sto: Istina i pomirenje – imperativ bosanskohercegovačke budućnosti’, Sarajevo, 4 Feb. 2000. (hereafter ‘Okrugli sto: Istina i pomirenje..’) </w:t>
      </w:r>
      <w:hyperlink r:id="rId3" w:history="1">
        <w:r w:rsidRPr="00B72C30">
          <w:rPr>
            <w:rStyle w:val="Hyperlink"/>
          </w:rPr>
          <w:t>http:///www.angelfire.com.bc2/kip</w:t>
        </w:r>
      </w:hyperlink>
      <w:r>
        <w:t xml:space="preserve">. Boraine also acted as an advisor to the Yugoslav (Serbia and Montenegro) TRC set up in 2001 and tried to establish cooperation between it and Bosnian civil society representatives. (Alex Boraine, </w:t>
      </w:r>
      <w:r w:rsidRPr="002836FF">
        <w:rPr>
          <w:i/>
        </w:rPr>
        <w:t>A Life in Transition</w:t>
      </w:r>
      <w:r>
        <w:t xml:space="preserve">, Zebra Press, 2008:  234-38) </w:t>
      </w:r>
    </w:p>
  </w:footnote>
  <w:footnote w:id="16">
    <w:p w:rsidR="004A23FA" w:rsidRDefault="004A23FA">
      <w:pPr>
        <w:pStyle w:val="FootnoteText"/>
      </w:pPr>
      <w:r>
        <w:rPr>
          <w:rStyle w:val="FootnoteReference"/>
        </w:rPr>
        <w:footnoteRef/>
      </w:r>
      <w:r>
        <w:t xml:space="preserve"> Richard J. Goldstone, ‘Ethnic Reconciliation Needs the Help of a Truth Commission’, </w:t>
      </w:r>
      <w:r w:rsidRPr="008C2AD0">
        <w:rPr>
          <w:i/>
        </w:rPr>
        <w:t>International Herald Tribune</w:t>
      </w:r>
      <w:r>
        <w:t xml:space="preserve">, Oct. 24, 1998. </w:t>
      </w:r>
    </w:p>
  </w:footnote>
  <w:footnote w:id="17">
    <w:p w:rsidR="004A23FA" w:rsidRDefault="004A23FA">
      <w:pPr>
        <w:pStyle w:val="FootnoteText"/>
      </w:pPr>
      <w:r>
        <w:rPr>
          <w:rStyle w:val="FootnoteReference"/>
        </w:rPr>
        <w:footnoteRef/>
      </w:r>
      <w:r>
        <w:t xml:space="preserve"> Roht-Arriaza, supra n </w:t>
      </w:r>
      <w:r w:rsidR="005D59DA">
        <w:t>9</w:t>
      </w:r>
      <w:r>
        <w:t>:8.</w:t>
      </w:r>
    </w:p>
  </w:footnote>
  <w:footnote w:id="18">
    <w:p w:rsidR="004A23FA" w:rsidRDefault="004A23FA">
      <w:pPr>
        <w:pStyle w:val="FootnoteText"/>
      </w:pPr>
      <w:r>
        <w:rPr>
          <w:rStyle w:val="FootnoteReference"/>
        </w:rPr>
        <w:footnoteRef/>
      </w:r>
      <w:r>
        <w:t xml:space="preserve"> This initiative, aimed at fostering dialogue and the promotion of justice in Bosnia, was later broadened to other parts of the Balkans. See </w:t>
      </w:r>
      <w:hyperlink r:id="rId4" w:history="1">
        <w:r w:rsidRPr="00FD5252">
          <w:rPr>
            <w:rStyle w:val="Hyperlink"/>
          </w:rPr>
          <w:t>http://www.usip.org/publications/balkans-initiative</w:t>
        </w:r>
      </w:hyperlink>
      <w:r>
        <w:t xml:space="preserve">  </w:t>
      </w:r>
    </w:p>
  </w:footnote>
  <w:footnote w:id="19">
    <w:p w:rsidR="004A23FA" w:rsidRPr="00642D00" w:rsidRDefault="004A23FA" w:rsidP="000E09A6">
      <w:pPr>
        <w:pStyle w:val="FootnoteText"/>
      </w:pPr>
      <w:r w:rsidRPr="00642D00">
        <w:rPr>
          <w:rStyle w:val="FootnoteReference"/>
        </w:rPr>
        <w:footnoteRef/>
      </w:r>
      <w:r w:rsidRPr="00642D00">
        <w:t xml:space="preserve"> ‘Cooperation Agreements in Bosnia’, </w:t>
      </w:r>
      <w:r w:rsidRPr="00642D00">
        <w:rPr>
          <w:i/>
        </w:rPr>
        <w:t>PeaceWatch</w:t>
      </w:r>
      <w:r w:rsidRPr="00642D00">
        <w:t xml:space="preserve">, USIP, August 1997. </w:t>
      </w:r>
      <w:hyperlink r:id="rId5" w:history="1">
        <w:r w:rsidRPr="0031424E">
          <w:rPr>
            <w:rStyle w:val="Hyperlink"/>
          </w:rPr>
          <w:t>http://www.usip.org/peacewatch/1997/897/bosnia.html</w:t>
        </w:r>
      </w:hyperlink>
    </w:p>
  </w:footnote>
  <w:footnote w:id="20">
    <w:p w:rsidR="004A23FA" w:rsidRDefault="004A23FA" w:rsidP="006B0CED">
      <w:pPr>
        <w:spacing w:after="0"/>
      </w:pPr>
      <w:r w:rsidRPr="006B0CED">
        <w:rPr>
          <w:rStyle w:val="FootnoteReference"/>
          <w:sz w:val="20"/>
          <w:szCs w:val="20"/>
        </w:rPr>
        <w:footnoteRef/>
      </w:r>
      <w:r w:rsidRPr="006B0CED">
        <w:rPr>
          <w:sz w:val="20"/>
          <w:szCs w:val="20"/>
        </w:rPr>
        <w:t xml:space="preserve"> Neil J. Kritz and Jakob Finci, ‘A Truth and Reconciliation Commission in Bosnia and Herzegovina: An Idea Whose Time Has Come’, </w:t>
      </w:r>
      <w:r w:rsidRPr="006B0CED">
        <w:rPr>
          <w:i/>
          <w:sz w:val="20"/>
          <w:szCs w:val="20"/>
        </w:rPr>
        <w:t>International Law Forum</w:t>
      </w:r>
      <w:r>
        <w:rPr>
          <w:sz w:val="20"/>
          <w:szCs w:val="20"/>
        </w:rPr>
        <w:t>, 3 (2001):</w:t>
      </w:r>
      <w:r w:rsidRPr="006B0CED">
        <w:rPr>
          <w:sz w:val="20"/>
          <w:szCs w:val="20"/>
        </w:rPr>
        <w:t xml:space="preserve"> 50-58.</w:t>
      </w:r>
      <w:r>
        <w:rPr>
          <w:sz w:val="20"/>
          <w:szCs w:val="20"/>
        </w:rPr>
        <w:t xml:space="preserve"> </w:t>
      </w:r>
      <w:r w:rsidR="00315118">
        <w:rPr>
          <w:sz w:val="20"/>
          <w:szCs w:val="20"/>
        </w:rPr>
        <w:t>On the contributions of</w:t>
      </w:r>
      <w:r>
        <w:rPr>
          <w:sz w:val="20"/>
          <w:szCs w:val="20"/>
        </w:rPr>
        <w:t xml:space="preserve"> truth commissions, see Martha Minow, </w:t>
      </w:r>
      <w:r w:rsidRPr="006B0CED">
        <w:rPr>
          <w:i/>
          <w:sz w:val="20"/>
          <w:szCs w:val="20"/>
        </w:rPr>
        <w:t>Between Vengeance and Forgiveness: Facing History after Genocide and Mass Violence</w:t>
      </w:r>
      <w:r>
        <w:rPr>
          <w:sz w:val="20"/>
          <w:szCs w:val="20"/>
        </w:rPr>
        <w:t xml:space="preserve"> (</w:t>
      </w:r>
      <w:r w:rsidRPr="006B0CED">
        <w:rPr>
          <w:sz w:val="20"/>
          <w:szCs w:val="20"/>
        </w:rPr>
        <w:t>Boston: Beacon Press, 1998</w:t>
      </w:r>
      <w:r>
        <w:t>)</w:t>
      </w:r>
      <w:r w:rsidRPr="006B0CED">
        <w:rPr>
          <w:sz w:val="20"/>
          <w:szCs w:val="20"/>
        </w:rPr>
        <w:t>.</w:t>
      </w:r>
    </w:p>
  </w:footnote>
  <w:footnote w:id="21">
    <w:p w:rsidR="004A23FA" w:rsidRDefault="004A23FA">
      <w:pPr>
        <w:pStyle w:val="FootnoteText"/>
      </w:pPr>
      <w:r>
        <w:rPr>
          <w:rStyle w:val="FootnoteReference"/>
        </w:rPr>
        <w:footnoteRef/>
      </w:r>
      <w:r>
        <w:t xml:space="preserve"> Ibid, 52.</w:t>
      </w:r>
      <w:r w:rsidRPr="00A72914">
        <w:t xml:space="preserve"> </w:t>
      </w:r>
      <w:r>
        <w:t xml:space="preserve">For Jaspers’ definitions of guilt see his </w:t>
      </w:r>
      <w:r w:rsidRPr="00F362D5">
        <w:rPr>
          <w:i/>
        </w:rPr>
        <w:t>The Question of German Guilt</w:t>
      </w:r>
      <w:r>
        <w:t xml:space="preserve"> (New York: Fordham University Press, 2001).</w:t>
      </w:r>
    </w:p>
  </w:footnote>
  <w:footnote w:id="22">
    <w:p w:rsidR="004A23FA" w:rsidRDefault="004A23FA">
      <w:pPr>
        <w:pStyle w:val="FootnoteText"/>
      </w:pPr>
      <w:r>
        <w:rPr>
          <w:rStyle w:val="FootnoteReference"/>
        </w:rPr>
        <w:footnoteRef/>
      </w:r>
      <w:r>
        <w:t xml:space="preserve"> Ibid, 53.</w:t>
      </w:r>
    </w:p>
  </w:footnote>
  <w:footnote w:id="23">
    <w:p w:rsidR="004A23FA" w:rsidRDefault="004A23FA" w:rsidP="00B93059">
      <w:pPr>
        <w:pStyle w:val="FootnoteText"/>
      </w:pPr>
      <w:r>
        <w:rPr>
          <w:rStyle w:val="FootnoteReference"/>
        </w:rPr>
        <w:footnoteRef/>
      </w:r>
      <w:r>
        <w:t xml:space="preserve"> Jakob Finci, ‘Zašto nam treba Komisija za istinu i pomirenje?’ </w:t>
      </w:r>
      <w:hyperlink r:id="rId6" w:history="1">
        <w:r w:rsidRPr="00CA7208">
          <w:rPr>
            <w:rStyle w:val="Hyperlink"/>
          </w:rPr>
          <w:t>http://www.angelfire.com/bc2/kip/bosanski/files/stockholmbh.htm</w:t>
        </w:r>
      </w:hyperlink>
    </w:p>
  </w:footnote>
  <w:footnote w:id="24">
    <w:p w:rsidR="004A23FA" w:rsidRDefault="004A23FA">
      <w:pPr>
        <w:pStyle w:val="FootnoteText"/>
      </w:pPr>
      <w:r>
        <w:rPr>
          <w:rStyle w:val="FootnoteReference"/>
        </w:rPr>
        <w:footnoteRef/>
      </w:r>
      <w:r>
        <w:t xml:space="preserve"> Ibid.</w:t>
      </w:r>
    </w:p>
  </w:footnote>
  <w:footnote w:id="25">
    <w:p w:rsidR="004A23FA" w:rsidRDefault="004A23FA">
      <w:pPr>
        <w:pStyle w:val="FootnoteText"/>
      </w:pPr>
      <w:r>
        <w:rPr>
          <w:rStyle w:val="FootnoteReference"/>
        </w:rPr>
        <w:footnoteRef/>
      </w:r>
      <w:r>
        <w:t xml:space="preserve"> Vehid Šehić’s intervention. (‘Okrugli sto: Istina i pomirenje..’, supra n </w:t>
      </w:r>
      <w:r w:rsidR="005D59DA">
        <w:t>15</w:t>
      </w:r>
      <w:r>
        <w:t>)</w:t>
      </w:r>
    </w:p>
  </w:footnote>
  <w:footnote w:id="26">
    <w:p w:rsidR="004A23FA" w:rsidRDefault="004A23FA">
      <w:pPr>
        <w:pStyle w:val="FootnoteText"/>
      </w:pPr>
      <w:r>
        <w:rPr>
          <w:rStyle w:val="FootnoteReference"/>
        </w:rPr>
        <w:footnoteRef/>
      </w:r>
      <w:r>
        <w:t xml:space="preserve"> US Embassy in Sarajevo to Secretary of State, Washington, Cable of April 7, 2006, para 5. </w:t>
      </w:r>
      <w:hyperlink r:id="rId7" w:history="1">
        <w:r w:rsidRPr="007F4AB6">
          <w:rPr>
            <w:rStyle w:val="Hyperlink"/>
          </w:rPr>
          <w:t>www.wikileaks.ch/cable/2006/04/06SARAJEVO738.html</w:t>
        </w:r>
      </w:hyperlink>
    </w:p>
  </w:footnote>
  <w:footnote w:id="27">
    <w:p w:rsidR="004A23FA" w:rsidRDefault="004A23FA">
      <w:pPr>
        <w:pStyle w:val="FootnoteText"/>
      </w:pPr>
      <w:r>
        <w:rPr>
          <w:rStyle w:val="FootnoteReference"/>
        </w:rPr>
        <w:footnoteRef/>
      </w:r>
      <w:r>
        <w:t xml:space="preserve"> On the constitutional amendments process, see </w:t>
      </w:r>
      <w:r w:rsidR="005D59DA">
        <w:t>e.g.</w:t>
      </w:r>
      <w:r>
        <w:t xml:space="preserve"> Sofia Sebastian, </w:t>
      </w:r>
      <w:r w:rsidRPr="00CC2113">
        <w:rPr>
          <w:i/>
        </w:rPr>
        <w:t>Leaving Dayton Behind: Constitutional Reform in Bosnia and Herzegovin</w:t>
      </w:r>
      <w:r>
        <w:rPr>
          <w:i/>
        </w:rPr>
        <w:t>a</w:t>
      </w:r>
      <w:r>
        <w:t>, Fundacion para las relaciones internacionales y el dialogo exterior (FRIDE), Working Paper 46, Nov. 2007.</w:t>
      </w:r>
    </w:p>
  </w:footnote>
  <w:footnote w:id="28">
    <w:p w:rsidR="004A23FA" w:rsidRDefault="004A23FA" w:rsidP="000F5684">
      <w:pPr>
        <w:pStyle w:val="FootnoteText"/>
      </w:pPr>
      <w:r>
        <w:rPr>
          <w:rStyle w:val="FootnoteReference"/>
        </w:rPr>
        <w:footnoteRef/>
      </w:r>
      <w:r>
        <w:t xml:space="preserve"> </w:t>
      </w:r>
      <w:r w:rsidRPr="00A1671F">
        <w:t xml:space="preserve">Gregory Gisvold, ‘A Truth Commission for Bosnia and Herzegovina? Anticipating the Debate’, in </w:t>
      </w:r>
      <w:r w:rsidRPr="00A1671F">
        <w:rPr>
          <w:i/>
        </w:rPr>
        <w:t>Post-War Protection of Human Rights in Bosnia and Herzegovina</w:t>
      </w:r>
      <w:r w:rsidRPr="00A1671F">
        <w:t>, ed. Michael O</w:t>
      </w:r>
      <w:r>
        <w:t>’Flaherty and Gregory Gisvold (Kluwer Law International, 1998</w:t>
      </w:r>
      <w:r w:rsidRPr="00A1671F">
        <w:t>: 241-261</w:t>
      </w:r>
      <w:r>
        <w:t>).</w:t>
      </w:r>
    </w:p>
  </w:footnote>
  <w:footnote w:id="29">
    <w:p w:rsidR="004A23FA" w:rsidRDefault="004A23FA">
      <w:pPr>
        <w:pStyle w:val="FootnoteText"/>
      </w:pPr>
      <w:r>
        <w:rPr>
          <w:rStyle w:val="FootnoteReference"/>
        </w:rPr>
        <w:footnoteRef/>
      </w:r>
      <w:r>
        <w:t xml:space="preserve"> The NGOs involved were: </w:t>
      </w:r>
      <w:r w:rsidRPr="00882242">
        <w:t>Circle 99, Tuzla Citizens’ Forum, the Citizens’ Alternative Parliament, the Helsinki Committee for Bosnia-Herzegovina in Sarajevo and its counterpart in Bosnia’s other entity, the Republika Srpska (RS)</w:t>
      </w:r>
      <w:r>
        <w:t xml:space="preserve">. They received funding of some $40,000 for the TRC project. </w:t>
      </w:r>
      <w:r w:rsidR="005D59DA">
        <w:t>(Author’s correspondence with Jakob Finci, 8. Sept. 2009.)</w:t>
      </w:r>
    </w:p>
  </w:footnote>
  <w:footnote w:id="30">
    <w:p w:rsidR="004A23FA" w:rsidRDefault="004A23FA" w:rsidP="00852930">
      <w:pPr>
        <w:pStyle w:val="FootnoteText"/>
      </w:pPr>
      <w:r>
        <w:rPr>
          <w:rStyle w:val="FootnoteReference"/>
        </w:rPr>
        <w:footnoteRef/>
      </w:r>
      <w:r>
        <w:t xml:space="preserve"> Ibid.</w:t>
      </w:r>
    </w:p>
  </w:footnote>
  <w:footnote w:id="31">
    <w:p w:rsidR="004A23FA" w:rsidRDefault="004A23FA" w:rsidP="0084013C">
      <w:pPr>
        <w:pStyle w:val="FootnoteText"/>
      </w:pPr>
      <w:r>
        <w:rPr>
          <w:rStyle w:val="FootnoteReference"/>
        </w:rPr>
        <w:footnoteRef/>
      </w:r>
      <w:r>
        <w:t xml:space="preserve"> For the speakers, see ‘Okrugli sto: Istina i pomirenje..’ supra n 1</w:t>
      </w:r>
      <w:r w:rsidR="005D59DA">
        <w:t>5</w:t>
      </w:r>
      <w:r>
        <w:t>.</w:t>
      </w:r>
    </w:p>
  </w:footnote>
  <w:footnote w:id="32">
    <w:p w:rsidR="004A23FA" w:rsidRDefault="004A23FA" w:rsidP="0084013C">
      <w:pPr>
        <w:pStyle w:val="FootnoteText"/>
      </w:pPr>
      <w:r>
        <w:rPr>
          <w:rStyle w:val="FootnoteReference"/>
        </w:rPr>
        <w:footnoteRef/>
      </w:r>
      <w:r>
        <w:t xml:space="preserve"> Author’s interviews with NGO representatives, Sarajevo, September 2009.</w:t>
      </w:r>
    </w:p>
  </w:footnote>
  <w:footnote w:id="33">
    <w:p w:rsidR="004A23FA" w:rsidRDefault="004A23FA" w:rsidP="0084013C">
      <w:pPr>
        <w:pStyle w:val="FootnoteText"/>
      </w:pPr>
      <w:r>
        <w:rPr>
          <w:rStyle w:val="FootnoteReference"/>
        </w:rPr>
        <w:footnoteRef/>
      </w:r>
      <w:r>
        <w:t xml:space="preserve"> Ibid.</w:t>
      </w:r>
    </w:p>
  </w:footnote>
  <w:footnote w:id="34">
    <w:p w:rsidR="004A23FA" w:rsidRPr="00642D00" w:rsidRDefault="004A23FA" w:rsidP="00137935">
      <w:pPr>
        <w:pStyle w:val="FootnoteText"/>
      </w:pPr>
      <w:r w:rsidRPr="00642D00">
        <w:rPr>
          <w:rStyle w:val="FootnoteReference"/>
        </w:rPr>
        <w:footnoteRef/>
      </w:r>
      <w:r w:rsidRPr="00642D00">
        <w:t xml:space="preserve"> </w:t>
      </w:r>
      <w:r>
        <w:t xml:space="preserve">Kritz’s authorship of the statute after the 1997 Strasbourg meeting was openly acknowledged. See USIP, </w:t>
      </w:r>
      <w:r w:rsidRPr="00642D00">
        <w:t xml:space="preserve">‘Bosnia to Form a Single Truth Commission’, </w:t>
      </w:r>
      <w:r w:rsidRPr="00642D00">
        <w:rPr>
          <w:i/>
        </w:rPr>
        <w:t>PeaceWatch</w:t>
      </w:r>
      <w:r w:rsidRPr="00642D00">
        <w:t>, February 1998</w:t>
      </w:r>
      <w:r>
        <w:t xml:space="preserve"> </w:t>
      </w:r>
      <w:hyperlink r:id="rId8" w:history="1">
        <w:r w:rsidRPr="00642D00">
          <w:rPr>
            <w:rStyle w:val="Hyperlink"/>
          </w:rPr>
          <w:t>http://www.usip.org/peacewatch/1998/298/truth.html</w:t>
        </w:r>
      </w:hyperlink>
      <w:r>
        <w:t xml:space="preserve"> </w:t>
      </w:r>
    </w:p>
  </w:footnote>
  <w:footnote w:id="35">
    <w:p w:rsidR="004A23FA" w:rsidRDefault="004A23FA">
      <w:pPr>
        <w:pStyle w:val="FootnoteText"/>
      </w:pPr>
      <w:r>
        <w:rPr>
          <w:rStyle w:val="FootnoteReference"/>
        </w:rPr>
        <w:footnoteRef/>
      </w:r>
      <w:r>
        <w:t xml:space="preserve"> ‘Draft of the Law on TRC in BH’. Document in possession of author.</w:t>
      </w:r>
    </w:p>
  </w:footnote>
  <w:footnote w:id="36">
    <w:p w:rsidR="004A23FA" w:rsidRDefault="004A23FA">
      <w:pPr>
        <w:pStyle w:val="FootnoteText"/>
      </w:pPr>
      <w:r>
        <w:rPr>
          <w:rStyle w:val="FootnoteReference"/>
        </w:rPr>
        <w:footnoteRef/>
      </w:r>
      <w:r>
        <w:t xml:space="preserve"> Ibid. </w:t>
      </w:r>
    </w:p>
  </w:footnote>
  <w:footnote w:id="37">
    <w:p w:rsidR="004A23FA" w:rsidRDefault="004A23FA" w:rsidP="00041189">
      <w:pPr>
        <w:pStyle w:val="FootnoteText"/>
      </w:pPr>
      <w:r>
        <w:rPr>
          <w:rStyle w:val="FootnoteReference"/>
        </w:rPr>
        <w:footnoteRef/>
      </w:r>
      <w:r>
        <w:t xml:space="preserve"> ‘Bosnia to Form a Single Truth Commission’, USIP </w:t>
      </w:r>
      <w:r w:rsidRPr="00041189">
        <w:rPr>
          <w:i/>
        </w:rPr>
        <w:t>PeaceWatch</w:t>
      </w:r>
      <w:r>
        <w:t>, supra n 36. See also, Kritz and Finci, supra n 2</w:t>
      </w:r>
      <w:r w:rsidR="005D59DA">
        <w:t>0</w:t>
      </w:r>
      <w:r>
        <w:t xml:space="preserve"> at 53.</w:t>
      </w:r>
    </w:p>
  </w:footnote>
  <w:footnote w:id="38">
    <w:p w:rsidR="004A23FA" w:rsidRDefault="004A23FA">
      <w:pPr>
        <w:pStyle w:val="FootnoteText"/>
      </w:pPr>
      <w:r>
        <w:rPr>
          <w:rStyle w:val="FootnoteReference"/>
        </w:rPr>
        <w:footnoteRef/>
      </w:r>
      <w:r>
        <w:t xml:space="preserve"> ‘Draft of the Law on TRC in BH’, supra n 3</w:t>
      </w:r>
      <w:r w:rsidR="005D59DA">
        <w:t>5</w:t>
      </w:r>
      <w:r>
        <w:t xml:space="preserve"> and ‘Nacrt Statuta Komisije za Istinu i Pomirenje Bosne i Hercegovine (22/1/98)’. Document in possession of author. Emphasis added.</w:t>
      </w:r>
    </w:p>
  </w:footnote>
  <w:footnote w:id="39">
    <w:p w:rsidR="004A23FA" w:rsidRPr="00415638" w:rsidRDefault="004A23FA">
      <w:pPr>
        <w:pStyle w:val="FootnoteText"/>
      </w:pPr>
      <w:r>
        <w:rPr>
          <w:rStyle w:val="FootnoteReference"/>
        </w:rPr>
        <w:footnoteRef/>
      </w:r>
      <w:r>
        <w:t xml:space="preserve"> Janine Natalya Clark, ‘Does Bosnia Need a Truth and Reconciliation Commission? Some Reflections on its Possible Design’, </w:t>
      </w:r>
      <w:r w:rsidRPr="006C2CB1">
        <w:rPr>
          <w:i/>
        </w:rPr>
        <w:t>Ethnopolitics</w:t>
      </w:r>
      <w:r>
        <w:t>, 12/3 (2013): 233-234. As has been noted, however, the amnesty powers of the South African TRC were exceptional. Eduardo Gonzàlez, ‘Set to Fail? Assessing Tendencies in Truth Commissions Created After Violent Conflict’, in</w:t>
      </w:r>
      <w:r w:rsidRPr="00415638">
        <w:rPr>
          <w:i/>
        </w:rPr>
        <w:t xml:space="preserve"> </w:t>
      </w:r>
      <w:r w:rsidRPr="006F7801">
        <w:rPr>
          <w:i/>
        </w:rPr>
        <w:t>Challenging the Conventional</w:t>
      </w:r>
      <w:r>
        <w:t>, supra n 1: 4.</w:t>
      </w:r>
    </w:p>
  </w:footnote>
  <w:footnote w:id="40">
    <w:p w:rsidR="004A23FA" w:rsidRDefault="004A23FA">
      <w:pPr>
        <w:pStyle w:val="FootnoteText"/>
      </w:pPr>
      <w:r>
        <w:rPr>
          <w:rStyle w:val="FootnoteReference"/>
        </w:rPr>
        <w:footnoteRef/>
      </w:r>
      <w:r>
        <w:t xml:space="preserve"> Kritz and Finci, supra n 2</w:t>
      </w:r>
      <w:r w:rsidR="005D59DA">
        <w:t>0</w:t>
      </w:r>
      <w:r>
        <w:t xml:space="preserve"> at 56.</w:t>
      </w:r>
    </w:p>
  </w:footnote>
  <w:footnote w:id="41">
    <w:p w:rsidR="004A23FA" w:rsidRDefault="004A23FA">
      <w:pPr>
        <w:pStyle w:val="FootnoteText"/>
      </w:pPr>
      <w:r>
        <w:rPr>
          <w:rStyle w:val="FootnoteReference"/>
        </w:rPr>
        <w:footnoteRef/>
      </w:r>
      <w:r>
        <w:t xml:space="preserve"> ‘Draft of the Law on TRC in BH’, supra n 3</w:t>
      </w:r>
      <w:r w:rsidR="005D59DA">
        <w:t>5</w:t>
      </w:r>
      <w:r>
        <w:t>.</w:t>
      </w:r>
    </w:p>
  </w:footnote>
  <w:footnote w:id="42">
    <w:p w:rsidR="004A23FA" w:rsidRDefault="004A23FA">
      <w:pPr>
        <w:pStyle w:val="FootnoteText"/>
      </w:pPr>
      <w:r>
        <w:rPr>
          <w:rStyle w:val="FootnoteReference"/>
        </w:rPr>
        <w:footnoteRef/>
      </w:r>
      <w:r>
        <w:t xml:space="preserve"> Author’s interviews with NGO representatives, Sarajevo, September 2009.</w:t>
      </w:r>
    </w:p>
  </w:footnote>
  <w:footnote w:id="43">
    <w:p w:rsidR="004A23FA" w:rsidRDefault="004A23FA" w:rsidP="00A3180F">
      <w:pPr>
        <w:pStyle w:val="FootnoteText"/>
      </w:pPr>
      <w:r>
        <w:rPr>
          <w:rStyle w:val="FootnoteReference"/>
        </w:rPr>
        <w:footnoteRef/>
      </w:r>
      <w:r>
        <w:t xml:space="preserve"> Author’s interviews with NGO representatives, Sarajevo, September 2009.</w:t>
      </w:r>
    </w:p>
  </w:footnote>
  <w:footnote w:id="44">
    <w:p w:rsidR="004A23FA" w:rsidRDefault="004A23FA">
      <w:pPr>
        <w:pStyle w:val="FootnoteText"/>
      </w:pPr>
      <w:r>
        <w:rPr>
          <w:rStyle w:val="FootnoteReference"/>
        </w:rPr>
        <w:footnoteRef/>
      </w:r>
      <w:r>
        <w:t xml:space="preserve"> Author’s interviews with members of the parliamentary working group, Sarajevo, Sept. 2009.</w:t>
      </w:r>
    </w:p>
  </w:footnote>
  <w:footnote w:id="45">
    <w:p w:rsidR="004A23FA" w:rsidRDefault="004A23FA">
      <w:pPr>
        <w:pStyle w:val="FootnoteText"/>
      </w:pPr>
      <w:r>
        <w:rPr>
          <w:rStyle w:val="FootnoteReference"/>
        </w:rPr>
        <w:footnoteRef/>
      </w:r>
      <w:r>
        <w:t xml:space="preserve"> ‘Utvrdjivanje istine u post-konfliktnom period: inicijative i perspective na zapadnom Balkanu’, international conference organized by Documenta (Zagreb), Humanitarian Law Center (Belgrade) and Research and documentation Centre (Sarajevo), Sarajevo, 5-6 May 2006. (Hereafter ‘Utvrdjivanje istine...) </w:t>
      </w:r>
      <w:hyperlink r:id="rId9" w:history="1">
        <w:r w:rsidRPr="00B11684">
          <w:rPr>
            <w:rStyle w:val="Hyperlink"/>
          </w:rPr>
          <w:t>http://korekom.org/public/fck_files/file/Reg_%20forum%20%za%20tran_pravdu-Sarajevo-5_i%206_maj%202006-transkripti.pdf</w:t>
        </w:r>
      </w:hyperlink>
    </w:p>
  </w:footnote>
  <w:footnote w:id="46">
    <w:p w:rsidR="004A23FA" w:rsidRDefault="004A23FA">
      <w:pPr>
        <w:pStyle w:val="FootnoteText"/>
      </w:pPr>
      <w:r>
        <w:rPr>
          <w:rStyle w:val="FootnoteReference"/>
        </w:rPr>
        <w:footnoteRef/>
      </w:r>
      <w:r>
        <w:t xml:space="preserve"> </w:t>
      </w:r>
      <w:r w:rsidRPr="006C2CB1">
        <w:t>There were only two additions to the commission’s original mandate, namely investigations into the ‘number and identity of military personnel that was killed, injured or disappeared’ and the ‘destruction and unlawful appropriation of others’ property’</w:t>
      </w:r>
      <w:r>
        <w:t>. (‘Radni material: Prijedlog nacrta Zakona o Komisiji za istinu’. Document in possession of author.)</w:t>
      </w:r>
    </w:p>
  </w:footnote>
  <w:footnote w:id="47">
    <w:p w:rsidR="004A23FA" w:rsidRDefault="004A23FA">
      <w:pPr>
        <w:pStyle w:val="FootnoteText"/>
      </w:pPr>
      <w:r>
        <w:rPr>
          <w:rStyle w:val="FootnoteReference"/>
        </w:rPr>
        <w:footnoteRef/>
      </w:r>
      <w:r>
        <w:t xml:space="preserve"> Kritz and Finci, supra n 2</w:t>
      </w:r>
      <w:r w:rsidR="005D59DA">
        <w:t>0</w:t>
      </w:r>
      <w:r>
        <w:t xml:space="preserve"> at 56.</w:t>
      </w:r>
    </w:p>
  </w:footnote>
  <w:footnote w:id="48">
    <w:p w:rsidR="004A23FA" w:rsidRDefault="004A23FA">
      <w:pPr>
        <w:pStyle w:val="FootnoteText"/>
      </w:pPr>
      <w:r>
        <w:rPr>
          <w:rStyle w:val="FootnoteReference"/>
        </w:rPr>
        <w:footnoteRef/>
      </w:r>
      <w:r>
        <w:t xml:space="preserve"> ‘Draft of the Law on TRC in BH’, supra n 3</w:t>
      </w:r>
      <w:r w:rsidR="005D59DA">
        <w:t>5</w:t>
      </w:r>
      <w:r>
        <w:t>.</w:t>
      </w:r>
    </w:p>
  </w:footnote>
  <w:footnote w:id="49">
    <w:p w:rsidR="004A23FA" w:rsidRDefault="004A23FA">
      <w:pPr>
        <w:pStyle w:val="FootnoteText"/>
      </w:pPr>
      <w:r>
        <w:rPr>
          <w:rStyle w:val="FootnoteReference"/>
        </w:rPr>
        <w:footnoteRef/>
      </w:r>
      <w:r>
        <w:t xml:space="preserve"> ‘Radni material: Prijedlog nacrta Zakona o Komisiji za istinu’, supra n 4</w:t>
      </w:r>
      <w:r w:rsidR="005D59DA">
        <w:t>6</w:t>
      </w:r>
      <w:r>
        <w:t xml:space="preserve">. </w:t>
      </w:r>
    </w:p>
  </w:footnote>
  <w:footnote w:id="50">
    <w:p w:rsidR="004A23FA" w:rsidRDefault="004A23FA">
      <w:pPr>
        <w:pStyle w:val="FootnoteText"/>
      </w:pPr>
      <w:r>
        <w:rPr>
          <w:rStyle w:val="FootnoteReference"/>
        </w:rPr>
        <w:footnoteRef/>
      </w:r>
      <w:r>
        <w:t xml:space="preserve"> ‘Saopštenje za javnost’. Document in possession of author.</w:t>
      </w:r>
    </w:p>
  </w:footnote>
  <w:footnote w:id="51">
    <w:p w:rsidR="004A23FA" w:rsidRDefault="004A23FA">
      <w:pPr>
        <w:pStyle w:val="FootnoteText"/>
      </w:pPr>
      <w:r>
        <w:rPr>
          <w:rStyle w:val="FootnoteReference"/>
        </w:rPr>
        <w:footnoteRef/>
      </w:r>
      <w:r>
        <w:t xml:space="preserve"> Author’s interviews with members of the parliamentary working group, Sarajevo, Sept. 2009.</w:t>
      </w:r>
      <w:r w:rsidRPr="002B5CD2">
        <w:t xml:space="preserve"> </w:t>
      </w:r>
      <w:r>
        <w:t>The constitutional amendments were agreed upon by party leaders in March 2006, but did not pass in the House of Representatives in April.</w:t>
      </w:r>
    </w:p>
  </w:footnote>
  <w:footnote w:id="52">
    <w:p w:rsidR="004A23FA" w:rsidRDefault="004A23FA" w:rsidP="0008129A">
      <w:pPr>
        <w:pStyle w:val="FootnoteText"/>
      </w:pPr>
      <w:r>
        <w:rPr>
          <w:rStyle w:val="FootnoteReference"/>
        </w:rPr>
        <w:footnoteRef/>
      </w:r>
      <w:r>
        <w:t xml:space="preserve"> ‘Fifth Annual Report of the International Tribunal for the Prosecution of Persons Responsible for Serious Violations of International Humanitarian Law Committed in the Territory of the Former Yugoslavia since 1991’, July 27, 1998, UN Doc. A/5.3/219-S/1998/737 at 50-51. </w:t>
      </w:r>
    </w:p>
  </w:footnote>
  <w:footnote w:id="53">
    <w:p w:rsidR="004A23FA" w:rsidRPr="00642D00" w:rsidRDefault="004A23FA" w:rsidP="00757931">
      <w:pPr>
        <w:pStyle w:val="FootnoteText"/>
      </w:pPr>
      <w:r w:rsidRPr="00642D00">
        <w:rPr>
          <w:rStyle w:val="FootnoteReference"/>
        </w:rPr>
        <w:footnoteRef/>
      </w:r>
      <w:r>
        <w:t xml:space="preserve"> Transcript of ‘Okrugli sto: Istina i pomirenje..’, supra n 1</w:t>
      </w:r>
      <w:r w:rsidR="005D59DA">
        <w:t>5</w:t>
      </w:r>
      <w:r w:rsidRPr="00642D00">
        <w:t xml:space="preserve">. </w:t>
      </w:r>
    </w:p>
  </w:footnote>
  <w:footnote w:id="54">
    <w:p w:rsidR="004A23FA" w:rsidRDefault="004A23FA">
      <w:pPr>
        <w:pStyle w:val="FootnoteText"/>
      </w:pPr>
      <w:r>
        <w:rPr>
          <w:rStyle w:val="FootnoteReference"/>
        </w:rPr>
        <w:footnoteRef/>
      </w:r>
      <w:r>
        <w:t xml:space="preserve"> Ibid.</w:t>
      </w:r>
    </w:p>
  </w:footnote>
  <w:footnote w:id="55">
    <w:p w:rsidR="004A23FA" w:rsidRPr="00642D00" w:rsidRDefault="004A23FA" w:rsidP="007A2030">
      <w:pPr>
        <w:pStyle w:val="FootnoteText"/>
      </w:pPr>
      <w:r w:rsidRPr="00642D00">
        <w:rPr>
          <w:rStyle w:val="FootnoteReference"/>
        </w:rPr>
        <w:footnoteRef/>
      </w:r>
      <w:r w:rsidRPr="00642D00">
        <w:t xml:space="preserve"> </w:t>
      </w:r>
      <w:r w:rsidR="005D59DA">
        <w:t>Ibid</w:t>
      </w:r>
      <w:r>
        <w:t>.</w:t>
      </w:r>
    </w:p>
  </w:footnote>
  <w:footnote w:id="56">
    <w:p w:rsidR="004A23FA" w:rsidRPr="00642D00" w:rsidRDefault="004A23FA" w:rsidP="0008129A">
      <w:pPr>
        <w:pStyle w:val="FootnoteText"/>
      </w:pPr>
      <w:r w:rsidRPr="00642D00">
        <w:rPr>
          <w:rStyle w:val="FootnoteReference"/>
        </w:rPr>
        <w:footnoteRef/>
      </w:r>
      <w:r>
        <w:t xml:space="preserve"> Claude</w:t>
      </w:r>
      <w:r w:rsidRPr="00642D00">
        <w:t xml:space="preserve"> Jorda, ‘The ICTY and the Truth and Reconciliation Commission in Bosnia and Herzegovina’, Speech made on 12 May 2001 in Sarajevo. Press Release, ICTY, The Hague, 17 May 2001. </w:t>
      </w:r>
      <w:hyperlink r:id="rId10" w:history="1">
        <w:r w:rsidRPr="00642D00">
          <w:rPr>
            <w:rStyle w:val="Hyperlink"/>
          </w:rPr>
          <w:t>http://www.un.org/icty/pressreal/p591-e.htm</w:t>
        </w:r>
      </w:hyperlink>
    </w:p>
  </w:footnote>
  <w:footnote w:id="57">
    <w:p w:rsidR="004A23FA" w:rsidRPr="00642D00" w:rsidRDefault="004A23FA" w:rsidP="0008129A">
      <w:pPr>
        <w:pStyle w:val="FootnoteText"/>
      </w:pPr>
      <w:r w:rsidRPr="00642D00">
        <w:rPr>
          <w:rStyle w:val="FootnoteReference"/>
        </w:rPr>
        <w:footnoteRef/>
      </w:r>
      <w:r w:rsidRPr="00642D00">
        <w:t xml:space="preserve"> Ibid.</w:t>
      </w:r>
    </w:p>
  </w:footnote>
  <w:footnote w:id="58">
    <w:p w:rsidR="004A23FA" w:rsidRPr="00642D00" w:rsidRDefault="004A23FA" w:rsidP="0008129A">
      <w:pPr>
        <w:pStyle w:val="FootnoteText"/>
      </w:pPr>
      <w:r w:rsidRPr="00642D00">
        <w:rPr>
          <w:rStyle w:val="FootnoteReference"/>
        </w:rPr>
        <w:footnoteRef/>
      </w:r>
      <w:r>
        <w:t xml:space="preserve"> Ibid and </w:t>
      </w:r>
      <w:r w:rsidRPr="00642D00">
        <w:t>R.</w:t>
      </w:r>
      <w:r>
        <w:t xml:space="preserve"> </w:t>
      </w:r>
      <w:r w:rsidRPr="00642D00">
        <w:t xml:space="preserve">J. Smith, ‘Probes of Atrocities Divide the Bosnians’, </w:t>
      </w:r>
      <w:r w:rsidRPr="00642D00">
        <w:rPr>
          <w:i/>
        </w:rPr>
        <w:t>Washington Post</w:t>
      </w:r>
      <w:r w:rsidRPr="00642D00">
        <w:t xml:space="preserve">, 28 Dec. 2000. </w:t>
      </w:r>
    </w:p>
  </w:footnote>
  <w:footnote w:id="59">
    <w:p w:rsidR="004A23FA" w:rsidRPr="00642D00" w:rsidRDefault="004A23FA" w:rsidP="0008129A">
      <w:pPr>
        <w:pStyle w:val="FootnoteText"/>
      </w:pPr>
      <w:r w:rsidRPr="00642D00">
        <w:rPr>
          <w:rStyle w:val="FootnoteReference"/>
        </w:rPr>
        <w:footnoteRef/>
      </w:r>
      <w:r w:rsidRPr="00642D00">
        <w:t xml:space="preserve"> ‘Kredibilitet Suda BiH je važan za građane BiH’, Centar za istraživačko novinarstvo, 1 July 2005. </w:t>
      </w:r>
      <w:hyperlink r:id="rId11" w:history="1">
        <w:r w:rsidRPr="00642D00">
          <w:rPr>
            <w:rStyle w:val="Hyperlink"/>
          </w:rPr>
          <w:t>http://www.cin.ba/stories/P3_Reconciliation/?cid=199,2,1</w:t>
        </w:r>
      </w:hyperlink>
    </w:p>
  </w:footnote>
  <w:footnote w:id="60">
    <w:p w:rsidR="004A23FA" w:rsidRPr="00642D00" w:rsidRDefault="004A23FA" w:rsidP="0008129A">
      <w:pPr>
        <w:pStyle w:val="FootnoteText"/>
      </w:pPr>
      <w:r w:rsidRPr="00642D00">
        <w:rPr>
          <w:rStyle w:val="FootnoteReference"/>
        </w:rPr>
        <w:footnoteRef/>
      </w:r>
      <w:r>
        <w:t xml:space="preserve"> </w:t>
      </w:r>
      <w:r w:rsidRPr="00642D00">
        <w:t xml:space="preserve">Boraine, </w:t>
      </w:r>
      <w:r w:rsidRPr="00642D00">
        <w:rPr>
          <w:i/>
        </w:rPr>
        <w:t>A Life in Transition</w:t>
      </w:r>
      <w:r w:rsidRPr="00642D00">
        <w:t xml:space="preserve">, </w:t>
      </w:r>
      <w:r>
        <w:t>supra n 1</w:t>
      </w:r>
      <w:r w:rsidR="005D59DA">
        <w:t>5</w:t>
      </w:r>
      <w:r>
        <w:t xml:space="preserve"> at</w:t>
      </w:r>
      <w:r w:rsidRPr="00642D00">
        <w:t xml:space="preserve"> 235.</w:t>
      </w:r>
    </w:p>
  </w:footnote>
  <w:footnote w:id="61">
    <w:p w:rsidR="004A23FA" w:rsidRDefault="004A23FA">
      <w:pPr>
        <w:pStyle w:val="FootnoteText"/>
      </w:pPr>
      <w:r>
        <w:rPr>
          <w:rStyle w:val="FootnoteReference"/>
        </w:rPr>
        <w:footnoteRef/>
      </w:r>
      <w:r>
        <w:t xml:space="preserve"> US Embassy in Sarajevo to Secretary of State, Washington, Cable of April 7, 2006, paras 2 and 8, </w:t>
      </w:r>
      <w:hyperlink r:id="rId12" w:history="1">
        <w:r w:rsidRPr="007F4AB6">
          <w:rPr>
            <w:rStyle w:val="Hyperlink"/>
          </w:rPr>
          <w:t>www.wikileaks.ch/cable/2006/04/06SARAJEVO738.html</w:t>
        </w:r>
      </w:hyperlink>
    </w:p>
  </w:footnote>
  <w:footnote w:id="62">
    <w:p w:rsidR="004A23FA" w:rsidRDefault="004A23FA">
      <w:pPr>
        <w:pStyle w:val="FootnoteText"/>
      </w:pPr>
      <w:r>
        <w:rPr>
          <w:rStyle w:val="FootnoteReference"/>
        </w:rPr>
        <w:footnoteRef/>
      </w:r>
      <w:r>
        <w:t xml:space="preserve"> Ibid, para 10.</w:t>
      </w:r>
    </w:p>
  </w:footnote>
  <w:footnote w:id="63">
    <w:p w:rsidR="004A23FA" w:rsidRDefault="004A23FA" w:rsidP="003C6684">
      <w:pPr>
        <w:pStyle w:val="FootnoteText"/>
      </w:pPr>
      <w:r>
        <w:rPr>
          <w:rStyle w:val="FootnoteReference"/>
        </w:rPr>
        <w:footnoteRef/>
      </w:r>
      <w:r>
        <w:rPr>
          <w:rFonts w:ascii="Times New Roman" w:hAnsi="Times New Roman" w:cs="Times New Roman"/>
          <w:sz w:val="24"/>
          <w:szCs w:val="24"/>
        </w:rPr>
        <w:t xml:space="preserve"> </w:t>
      </w:r>
      <w:r w:rsidRPr="001E4037">
        <w:rPr>
          <w:rFonts w:cs="Times New Roman"/>
        </w:rPr>
        <w:t>Public opinion polls show that only 13% of RS Serbs have tended to identify with Bosnia as a state</w:t>
      </w:r>
      <w:r>
        <w:rPr>
          <w:rFonts w:cs="Times New Roman"/>
        </w:rPr>
        <w:t>.</w:t>
      </w:r>
      <w:r>
        <w:t xml:space="preserve"> See International Crisis Group, ‘Bosnia: What does Republika Srpska want?’ 214, 6 Oct. 2011: 11.</w:t>
      </w:r>
    </w:p>
  </w:footnote>
  <w:footnote w:id="64">
    <w:p w:rsidR="004A23FA" w:rsidRDefault="004A23FA" w:rsidP="003C6684">
      <w:pPr>
        <w:pStyle w:val="FootnoteText"/>
      </w:pPr>
      <w:r>
        <w:rPr>
          <w:rStyle w:val="FootnoteReference"/>
        </w:rPr>
        <w:footnoteRef/>
      </w:r>
      <w:r>
        <w:t xml:space="preserve"> Ibid: 11</w:t>
      </w:r>
      <w:r w:rsidRPr="009B525C">
        <w:t>. The prevailing perception of the conflict in the RS has consistently been that of a defensive war imposed on the Bosnian Serbs, in which all sides committed some war crimes and for which Serbs were being disproportionately and unfairly blamed</w:t>
      </w:r>
      <w:r>
        <w:t xml:space="preserve">. See also, Diane Orentlicher, </w:t>
      </w:r>
      <w:r w:rsidRPr="00953E83">
        <w:rPr>
          <w:i/>
        </w:rPr>
        <w:t>That Someone Guilty Be Punished: The Impact of the ICTY in Bosnia</w:t>
      </w:r>
      <w:r>
        <w:t>, Open Society Justice Initiative and International Center for Transitional Justice, 2010: 91-96.</w:t>
      </w:r>
    </w:p>
  </w:footnote>
  <w:footnote w:id="65">
    <w:p w:rsidR="004A23FA" w:rsidRDefault="004A23FA" w:rsidP="003C6684">
      <w:pPr>
        <w:pStyle w:val="FootnoteText"/>
      </w:pPr>
      <w:r>
        <w:rPr>
          <w:rStyle w:val="FootnoteReference"/>
        </w:rPr>
        <w:footnoteRef/>
      </w:r>
      <w:r>
        <w:t xml:space="preserve"> Ipsos Strategic Marketing, Dec. 2010.</w:t>
      </w:r>
    </w:p>
  </w:footnote>
  <w:footnote w:id="66">
    <w:p w:rsidR="004A23FA" w:rsidRDefault="004A23FA">
      <w:pPr>
        <w:pStyle w:val="FootnoteText"/>
      </w:pPr>
      <w:r>
        <w:rPr>
          <w:rStyle w:val="FootnoteReference"/>
        </w:rPr>
        <w:footnoteRef/>
      </w:r>
      <w:r>
        <w:t xml:space="preserve"> Author’s interview, Sarajevo, Sept. 2009. Some other members of the parliamentary group were more committed to the idea, although they admitted that this was possibly not shared by their parties.</w:t>
      </w:r>
    </w:p>
  </w:footnote>
  <w:footnote w:id="67">
    <w:p w:rsidR="004A23FA" w:rsidRDefault="004A23FA">
      <w:pPr>
        <w:pStyle w:val="FootnoteText"/>
      </w:pPr>
      <w:r>
        <w:rPr>
          <w:rStyle w:val="FootnoteReference"/>
        </w:rPr>
        <w:footnoteRef/>
      </w:r>
      <w:r>
        <w:t xml:space="preserve"> This was clear, for example, in the Bosnian parliament’s debate on the role of the SDA in the events leading up to the 1995 Srebrenica genocide. (See Xavier Bougarel, ‘Reopening the Wounds? The Parliament of Bosnia-Herzegovina and the Question of Bosniak Responsibilities’, in </w:t>
      </w:r>
      <w:r w:rsidRPr="00261A5A">
        <w:rPr>
          <w:i/>
        </w:rPr>
        <w:t>Investigating Srebrenica: Institutions, Facts Responsibilities</w:t>
      </w:r>
      <w:r>
        <w:t>, eds Isabelle Delpla, Xavier Bougarel and Jean-Louis Fournel, Berghahn, 2012: 104-130)</w:t>
      </w:r>
    </w:p>
  </w:footnote>
  <w:footnote w:id="68">
    <w:p w:rsidR="004A23FA" w:rsidRPr="00235B77" w:rsidRDefault="004A23FA" w:rsidP="0077077C">
      <w:pPr>
        <w:spacing w:after="0"/>
        <w:rPr>
          <w:sz w:val="20"/>
          <w:szCs w:val="20"/>
        </w:rPr>
      </w:pPr>
      <w:r>
        <w:rPr>
          <w:rStyle w:val="FootnoteReference"/>
        </w:rPr>
        <w:footnoteRef/>
      </w:r>
      <w:r>
        <w:t xml:space="preserve"> </w:t>
      </w:r>
      <w:r w:rsidRPr="004B59E4">
        <w:rPr>
          <w:sz w:val="20"/>
          <w:szCs w:val="20"/>
        </w:rPr>
        <w:t>Truth commissions are viewed as being</w:t>
      </w:r>
      <w:r>
        <w:t xml:space="preserve"> </w:t>
      </w:r>
      <w:r w:rsidRPr="004B59E4">
        <w:rPr>
          <w:sz w:val="20"/>
          <w:szCs w:val="20"/>
        </w:rPr>
        <w:t>more victim-centric than criminal trials because they give survivors and family members the opportunity to tell their stories in a non-adversarial setting, uncover information about specific events and the fate of missing persons, and propose reparations</w:t>
      </w:r>
      <w:r>
        <w:rPr>
          <w:sz w:val="20"/>
          <w:szCs w:val="20"/>
        </w:rPr>
        <w:t>. S</w:t>
      </w:r>
      <w:r w:rsidRPr="00235B77">
        <w:rPr>
          <w:sz w:val="20"/>
          <w:szCs w:val="20"/>
        </w:rPr>
        <w:t>ee</w:t>
      </w:r>
      <w:r>
        <w:rPr>
          <w:sz w:val="20"/>
          <w:szCs w:val="20"/>
        </w:rPr>
        <w:t xml:space="preserve"> e.g.</w:t>
      </w:r>
      <w:r w:rsidRPr="00494FCD">
        <w:rPr>
          <w:sz w:val="20"/>
          <w:szCs w:val="20"/>
        </w:rPr>
        <w:t xml:space="preserve"> </w:t>
      </w:r>
      <w:r w:rsidRPr="00235B77">
        <w:rPr>
          <w:sz w:val="20"/>
          <w:szCs w:val="20"/>
        </w:rPr>
        <w:t>Minow</w:t>
      </w:r>
      <w:r w:rsidRPr="00494FCD">
        <w:rPr>
          <w:sz w:val="20"/>
          <w:szCs w:val="20"/>
        </w:rPr>
        <w:t xml:space="preserve">, supra n </w:t>
      </w:r>
      <w:r>
        <w:rPr>
          <w:sz w:val="20"/>
          <w:szCs w:val="20"/>
        </w:rPr>
        <w:t>2</w:t>
      </w:r>
      <w:r w:rsidR="005D59DA">
        <w:rPr>
          <w:sz w:val="20"/>
          <w:szCs w:val="20"/>
        </w:rPr>
        <w:t>0</w:t>
      </w:r>
      <w:r>
        <w:rPr>
          <w:sz w:val="20"/>
          <w:szCs w:val="20"/>
        </w:rPr>
        <w:t xml:space="preserve">, </w:t>
      </w:r>
      <w:r w:rsidRPr="00DE0746">
        <w:rPr>
          <w:sz w:val="20"/>
          <w:szCs w:val="20"/>
        </w:rPr>
        <w:t>Hayner</w:t>
      </w:r>
      <w:r>
        <w:rPr>
          <w:sz w:val="20"/>
          <w:szCs w:val="20"/>
        </w:rPr>
        <w:t>, supra n 3.</w:t>
      </w:r>
    </w:p>
  </w:footnote>
  <w:footnote w:id="69">
    <w:p w:rsidR="004A23FA" w:rsidRPr="00C27481" w:rsidRDefault="004A23FA" w:rsidP="00E74BFA">
      <w:pPr>
        <w:pStyle w:val="FootnoteText"/>
      </w:pPr>
      <w:r>
        <w:rPr>
          <w:rStyle w:val="FootnoteReference"/>
        </w:rPr>
        <w:footnoteRef/>
      </w:r>
      <w:r>
        <w:t xml:space="preserve"> ‘Kredibilitiet suda BiH je važan za gradjane BiH’, Centar za istraživačko novinarstvo, 1 July 2005, </w:t>
      </w:r>
      <w:hyperlink r:id="rId13" w:history="1">
        <w:r w:rsidRPr="00F874DA">
          <w:rPr>
            <w:rStyle w:val="Hyperlink"/>
          </w:rPr>
          <w:t>http://www.cin.ba</w:t>
        </w:r>
      </w:hyperlink>
      <w:r>
        <w:rPr>
          <w:rStyle w:val="Hyperlink"/>
          <w:u w:val="none"/>
        </w:rPr>
        <w:t>.</w:t>
      </w:r>
      <w:r>
        <w:rPr>
          <w:rStyle w:val="Hyperlink"/>
          <w:color w:val="auto"/>
          <w:u w:val="none"/>
        </w:rPr>
        <w:t xml:space="preserve"> The lack of support for these TRC initiatives by victim associations </w:t>
      </w:r>
      <w:r w:rsidRPr="00C27481">
        <w:rPr>
          <w:rStyle w:val="Hyperlink"/>
          <w:color w:val="auto"/>
          <w:u w:val="none"/>
        </w:rPr>
        <w:t xml:space="preserve">has </w:t>
      </w:r>
      <w:r>
        <w:rPr>
          <w:rStyle w:val="Hyperlink"/>
          <w:color w:val="auto"/>
          <w:u w:val="none"/>
        </w:rPr>
        <w:t xml:space="preserve">also </w:t>
      </w:r>
      <w:r w:rsidRPr="00C27481">
        <w:rPr>
          <w:rStyle w:val="Hyperlink"/>
          <w:color w:val="auto"/>
          <w:u w:val="none"/>
        </w:rPr>
        <w:t>been noted</w:t>
      </w:r>
      <w:r>
        <w:rPr>
          <w:rStyle w:val="Hyperlink"/>
          <w:color w:val="auto"/>
          <w:u w:val="none"/>
        </w:rPr>
        <w:t xml:space="preserve"> in the scholarly literature</w:t>
      </w:r>
      <w:r w:rsidRPr="00C27481">
        <w:rPr>
          <w:rStyle w:val="Hyperlink"/>
          <w:color w:val="auto"/>
          <w:u w:val="none"/>
        </w:rPr>
        <w:t>. See</w:t>
      </w:r>
      <w:r>
        <w:rPr>
          <w:rStyle w:val="Hyperlink"/>
          <w:color w:val="auto"/>
          <w:u w:val="none"/>
        </w:rPr>
        <w:t xml:space="preserve"> </w:t>
      </w:r>
      <w:r>
        <w:t xml:space="preserve">Cécile Jouheanneau, ‘Les mésaventures de projets de Commission Vérité et Réconciliation pour la Bosnie Herzégovine (1997-2006). Une étude de la circulation des modèles internationaux de résolution des conflits mémoriels’ in </w:t>
      </w:r>
      <w:r w:rsidRPr="006C2CB1">
        <w:rPr>
          <w:rStyle w:val="Emphasis"/>
          <w:lang w:val="en"/>
        </w:rPr>
        <w:t>Le passé au présent: gisements mémoriels et politiques publiques en Europe centrale et orientale</w:t>
      </w:r>
      <w:r w:rsidRPr="006C2CB1">
        <w:rPr>
          <w:lang w:val="en"/>
        </w:rPr>
        <w:t xml:space="preserve">, eds </w:t>
      </w:r>
      <w:r w:rsidRPr="006C2CB1">
        <w:t>Pascal Bonnard and Georges Mink (</w:t>
      </w:r>
      <w:r w:rsidRPr="006C2CB1">
        <w:rPr>
          <w:lang w:val="en"/>
        </w:rPr>
        <w:t>Michel Houdiard Editeur, 2010: 143-156</w:t>
      </w:r>
      <w:r>
        <w:rPr>
          <w:sz w:val="18"/>
          <w:szCs w:val="18"/>
          <w:lang w:val="en"/>
        </w:rPr>
        <w:t>)</w:t>
      </w:r>
      <w:r>
        <w:rPr>
          <w:rStyle w:val="Hyperlink"/>
          <w:color w:val="auto"/>
          <w:u w:val="none"/>
        </w:rPr>
        <w:t xml:space="preserve"> and</w:t>
      </w:r>
      <w:r w:rsidRPr="003E255F">
        <w:t xml:space="preserve"> Jelena Subotić, </w:t>
      </w:r>
      <w:r w:rsidRPr="003E255F">
        <w:rPr>
          <w:i/>
        </w:rPr>
        <w:t>Hijacked Justice: Dealing with the Past in the Balkans</w:t>
      </w:r>
      <w:r>
        <w:t xml:space="preserve"> (</w:t>
      </w:r>
      <w:r w:rsidRPr="003E255F">
        <w:t>Cornell University Press, 2009: 146-149</w:t>
      </w:r>
      <w:r>
        <w:t>)</w:t>
      </w:r>
      <w:r>
        <w:rPr>
          <w:rStyle w:val="Hyperlink"/>
          <w:color w:val="auto"/>
          <w:u w:val="none"/>
        </w:rPr>
        <w:t>.</w:t>
      </w:r>
    </w:p>
  </w:footnote>
  <w:footnote w:id="70">
    <w:p w:rsidR="004A23FA" w:rsidRDefault="004A23FA">
      <w:pPr>
        <w:pStyle w:val="FootnoteText"/>
      </w:pPr>
      <w:r>
        <w:rPr>
          <w:rStyle w:val="FootnoteReference"/>
        </w:rPr>
        <w:footnoteRef/>
      </w:r>
      <w:r>
        <w:t xml:space="preserve"> Author’s interviews with NGO representatives, Sarajevo, Sept. 2009.</w:t>
      </w:r>
    </w:p>
  </w:footnote>
  <w:footnote w:id="71">
    <w:p w:rsidR="004A23FA" w:rsidRDefault="004A23FA">
      <w:pPr>
        <w:pStyle w:val="FootnoteText"/>
      </w:pPr>
      <w:r>
        <w:rPr>
          <w:rStyle w:val="FootnoteReference"/>
        </w:rPr>
        <w:footnoteRef/>
      </w:r>
      <w:r>
        <w:t xml:space="preserve"> See e.g. Elissa Helms, </w:t>
      </w:r>
      <w:r w:rsidRPr="00002D90">
        <w:rPr>
          <w:i/>
        </w:rPr>
        <w:t>Innocence and Victimhood: Gender, Nation, and Women’s Activism in Postwar Bosnia-Herzegovina</w:t>
      </w:r>
      <w:r>
        <w:t xml:space="preserve"> (University of Wisconsin Press, 2013). The dependence of victims on political parties for pensions, disability assistance, social services and other public goods is noted by Isabelle Delpla, ‘In the Midst of Injustice: The ICTY from the perspective of some victim associations’ in</w:t>
      </w:r>
      <w:r w:rsidRPr="000B7159">
        <w:rPr>
          <w:i/>
        </w:rPr>
        <w:t xml:space="preserve"> </w:t>
      </w:r>
      <w:r w:rsidRPr="0035674E">
        <w:rPr>
          <w:i/>
        </w:rPr>
        <w:t>The New Bosnian Mosaic: Memories and Mo</w:t>
      </w:r>
      <w:r>
        <w:rPr>
          <w:i/>
        </w:rPr>
        <w:t>ral Claims in a Post-War Society</w:t>
      </w:r>
      <w:r w:rsidRPr="000B7159">
        <w:t>, ed</w:t>
      </w:r>
      <w:r>
        <w:t>s Xavier Bougarel, Elissa Helms and Ger Duijzings (Aldershot: Ashgate, 2007): 211-34.</w:t>
      </w:r>
    </w:p>
  </w:footnote>
  <w:footnote w:id="72">
    <w:p w:rsidR="004A23FA" w:rsidRDefault="004A23FA">
      <w:pPr>
        <w:pStyle w:val="FootnoteText"/>
      </w:pPr>
      <w:r>
        <w:rPr>
          <w:rStyle w:val="FootnoteReference"/>
        </w:rPr>
        <w:footnoteRef/>
      </w:r>
      <w:r>
        <w:t xml:space="preserve"> The complex and at times contradictory views of Bosnian victim associations towards transitional justice processes go beyond the scope of this article. Here the focus is only on the TRC initiatives discussed. </w:t>
      </w:r>
    </w:p>
  </w:footnote>
  <w:footnote w:id="73">
    <w:p w:rsidR="004A23FA" w:rsidRDefault="004A23FA">
      <w:pPr>
        <w:pStyle w:val="FootnoteText"/>
      </w:pPr>
      <w:r>
        <w:rPr>
          <w:rStyle w:val="FootnoteReference"/>
        </w:rPr>
        <w:footnoteRef/>
      </w:r>
      <w:r>
        <w:t xml:space="preserve"> This is also noted in </w:t>
      </w:r>
      <w:r w:rsidR="0025259E" w:rsidRPr="00A20554">
        <w:t xml:space="preserve">Edin Hodžić and Louis Bickford, ‘Looking Back, Looking Forward: Promoting Dialogue through Truth-Seeking in Bosnia and Herzegovina’. </w:t>
      </w:r>
      <w:r w:rsidR="0025259E">
        <w:t>UNDP, 26 June 2012: 66,</w:t>
      </w:r>
      <w:r w:rsidR="0025259E" w:rsidRPr="00A20554">
        <w:t xml:space="preserve"> available at </w:t>
      </w:r>
      <w:hyperlink r:id="rId14" w:history="1">
        <w:r w:rsidR="0025259E" w:rsidRPr="00A20554">
          <w:rPr>
            <w:rStyle w:val="Hyperlink"/>
          </w:rPr>
          <w:t>http://www.undp.ba/index.aspx?PID=36&amp;RID=141</w:t>
        </w:r>
      </w:hyperlink>
      <w:r w:rsidR="0025259E">
        <w:t xml:space="preserve">) </w:t>
      </w:r>
      <w:r>
        <w:t>and in Orentlicher, supra n 6</w:t>
      </w:r>
      <w:r w:rsidR="005D59DA">
        <w:t>4</w:t>
      </w:r>
      <w:r>
        <w:t>: 106.</w:t>
      </w:r>
    </w:p>
  </w:footnote>
  <w:footnote w:id="74">
    <w:p w:rsidR="004A23FA" w:rsidRDefault="004A23FA" w:rsidP="00B1151D">
      <w:pPr>
        <w:pStyle w:val="FootnoteText"/>
      </w:pPr>
      <w:r>
        <w:rPr>
          <w:rStyle w:val="FootnoteReference"/>
        </w:rPr>
        <w:footnoteRef/>
      </w:r>
      <w:r>
        <w:t xml:space="preserve"> Jouhanneau, supra n </w:t>
      </w:r>
      <w:r w:rsidR="005D59DA">
        <w:t>69</w:t>
      </w:r>
      <w:r>
        <w:t xml:space="preserve">. See also Roberto Belloni, ‘Civil Society and Peacebuilding in Bosnia and Herzegovina’, </w:t>
      </w:r>
      <w:r>
        <w:rPr>
          <w:i/>
        </w:rPr>
        <w:t>Journal of Peace R</w:t>
      </w:r>
      <w:r w:rsidRPr="0079378E">
        <w:rPr>
          <w:i/>
        </w:rPr>
        <w:t>esearch</w:t>
      </w:r>
      <w:r>
        <w:t>, 28/2, 2001: 163-180.</w:t>
      </w:r>
    </w:p>
  </w:footnote>
  <w:footnote w:id="75">
    <w:p w:rsidR="004A23FA" w:rsidRDefault="004A23FA" w:rsidP="00B1151D">
      <w:pPr>
        <w:pStyle w:val="FootnoteText"/>
      </w:pPr>
      <w:r>
        <w:rPr>
          <w:rStyle w:val="FootnoteReference"/>
        </w:rPr>
        <w:footnoteRef/>
      </w:r>
      <w:r>
        <w:t xml:space="preserve"> Author’s interviews with NGO representatives, Sarajevo, Sept. 2009. See also the statement of Kada Hotić of the Mothers of Srebrenica Association in Nerma Jelačić and Nidžara Ahmetašević, ‘Truth Commission Divides Bosnia’, </w:t>
      </w:r>
      <w:r w:rsidRPr="0066786D">
        <w:rPr>
          <w:i/>
        </w:rPr>
        <w:t>Balkan Insight</w:t>
      </w:r>
      <w:r>
        <w:t>, 31 March 2006.</w:t>
      </w:r>
    </w:p>
  </w:footnote>
  <w:footnote w:id="76">
    <w:p w:rsidR="004A23FA" w:rsidRDefault="004A23FA" w:rsidP="003C689C">
      <w:pPr>
        <w:pStyle w:val="FootnoteText"/>
      </w:pPr>
      <w:r>
        <w:rPr>
          <w:rStyle w:val="FootnoteReference"/>
        </w:rPr>
        <w:footnoteRef/>
      </w:r>
      <w:r>
        <w:t xml:space="preserve"> Nidžara Ahmetašević, ‘Komisije izmedju istine i politike’, H-Alter, 1 July 2006. </w:t>
      </w:r>
      <w:hyperlink r:id="rId15" w:history="1">
        <w:r w:rsidRPr="009B78B1">
          <w:rPr>
            <w:rStyle w:val="Hyperlink"/>
          </w:rPr>
          <w:t>http://www.h-alter.org/vijesti/vijesti/komisije-izmedju-istine-i-politike</w:t>
        </w:r>
      </w:hyperlink>
      <w:r>
        <w:t xml:space="preserve"> and Eldin Hadžović, ’20 miliona dolara za dogovorenu istinu’, </w:t>
      </w:r>
      <w:r w:rsidRPr="007D03CD">
        <w:rPr>
          <w:i/>
        </w:rPr>
        <w:t>BH</w:t>
      </w:r>
      <w:r>
        <w:rPr>
          <w:i/>
        </w:rPr>
        <w:t>-</w:t>
      </w:r>
      <w:r w:rsidRPr="00874546">
        <w:rPr>
          <w:i/>
        </w:rPr>
        <w:t>Dani</w:t>
      </w:r>
      <w:r>
        <w:t xml:space="preserve"> (Sarajevo), (456), 10 March 2006. </w:t>
      </w:r>
      <w:hyperlink r:id="rId16" w:history="1">
        <w:r w:rsidRPr="009B78B1">
          <w:rPr>
            <w:rStyle w:val="Hyperlink"/>
          </w:rPr>
          <w:t>http://www.bhdani.com/default.asp?kat=txt&amp;broj_id=456&amp;tekst_rb=8</w:t>
        </w:r>
      </w:hyperlink>
      <w:r>
        <w:t xml:space="preserve"> </w:t>
      </w:r>
    </w:p>
  </w:footnote>
  <w:footnote w:id="77">
    <w:p w:rsidR="004A23FA" w:rsidRDefault="004A23FA" w:rsidP="00474EB2">
      <w:pPr>
        <w:pStyle w:val="FootnoteText"/>
      </w:pPr>
      <w:r>
        <w:rPr>
          <w:rStyle w:val="FootnoteReference"/>
        </w:rPr>
        <w:footnoteRef/>
      </w:r>
      <w:r>
        <w:t xml:space="preserve"> This was Mile Mutić, nominated by the Socialist Party of Republika Srpska, who was removed when victim groups from Prijedor protested. Ibid and the intervention by Edin Ramulić of Izvor, the Prijedor association of former camp detainees, in transcript of ‘ Utvrdjivanje istine...’, supra n 4</w:t>
      </w:r>
      <w:r w:rsidR="005D59DA">
        <w:t>5</w:t>
      </w:r>
      <w:r>
        <w:t xml:space="preserve"> at 62 and 97.</w:t>
      </w:r>
    </w:p>
  </w:footnote>
  <w:footnote w:id="78">
    <w:p w:rsidR="004A23FA" w:rsidRDefault="004A23FA">
      <w:pPr>
        <w:pStyle w:val="FootnoteText"/>
      </w:pPr>
      <w:r>
        <w:rPr>
          <w:rStyle w:val="FootnoteReference"/>
        </w:rPr>
        <w:footnoteRef/>
      </w:r>
      <w:r>
        <w:t xml:space="preserve"> Transcript of ‘ Utvrdjivanje istine...’, supra n 4</w:t>
      </w:r>
      <w:r w:rsidR="005D59DA">
        <w:t>5</w:t>
      </w:r>
      <w:r>
        <w:t xml:space="preserve"> and declarations of victim association representatives in</w:t>
      </w:r>
      <w:r w:rsidRPr="002D3B7B">
        <w:t xml:space="preserve"> </w:t>
      </w:r>
      <w:r>
        <w:t>Jelačić and Ahmetašević, supra n 7</w:t>
      </w:r>
      <w:r w:rsidR="005D59DA">
        <w:t>5</w:t>
      </w:r>
      <w:r>
        <w:t>. See also Orentlicher, supra n 6</w:t>
      </w:r>
      <w:r w:rsidR="00516D52">
        <w:t>4</w:t>
      </w:r>
      <w:r>
        <w:t>: 97.</w:t>
      </w:r>
    </w:p>
  </w:footnote>
  <w:footnote w:id="79">
    <w:p w:rsidR="004A23FA" w:rsidRDefault="004A23FA" w:rsidP="00C719AB">
      <w:pPr>
        <w:pStyle w:val="FootnoteText"/>
      </w:pPr>
      <w:r>
        <w:rPr>
          <w:rStyle w:val="FootnoteReference"/>
        </w:rPr>
        <w:footnoteRef/>
      </w:r>
      <w:r>
        <w:t xml:space="preserve"> Of the 39,684 civilians killed and missing in the conflict, 33,070 (83.33%) were Bosniaks, 4075 (10.27%) were Serbs, 2163 (5.45%) were Croats and 376 (0.95%) belonged to other national groups. (Research and Documentation Center, Sarajevo, supra n 1</w:t>
      </w:r>
      <w:r w:rsidR="005D59DA">
        <w:t>0</w:t>
      </w:r>
      <w:r>
        <w:t>)</w:t>
      </w:r>
    </w:p>
  </w:footnote>
  <w:footnote w:id="80">
    <w:p w:rsidR="004A23FA" w:rsidRDefault="004A23FA">
      <w:pPr>
        <w:pStyle w:val="FootnoteText"/>
      </w:pPr>
      <w:r>
        <w:rPr>
          <w:rStyle w:val="FootnoteReference"/>
        </w:rPr>
        <w:footnoteRef/>
      </w:r>
      <w:r>
        <w:t xml:space="preserve"> ICG report, supra n 6</w:t>
      </w:r>
      <w:r w:rsidR="005D59DA">
        <w:t>3</w:t>
      </w:r>
      <w:r>
        <w:t xml:space="preserve"> at 11. </w:t>
      </w:r>
    </w:p>
  </w:footnote>
  <w:footnote w:id="81">
    <w:p w:rsidR="004A23FA" w:rsidRDefault="004A23FA">
      <w:pPr>
        <w:pStyle w:val="FootnoteText"/>
      </w:pPr>
      <w:r>
        <w:rPr>
          <w:rStyle w:val="FootnoteReference"/>
        </w:rPr>
        <w:footnoteRef/>
      </w:r>
      <w:r>
        <w:t xml:space="preserve"> Transcript of ‘Utvrdjivanje istine’ supra n 4</w:t>
      </w:r>
      <w:r w:rsidR="005D59DA">
        <w:t>5</w:t>
      </w:r>
      <w:r>
        <w:t xml:space="preserve"> at 65.</w:t>
      </w:r>
    </w:p>
  </w:footnote>
  <w:footnote w:id="82">
    <w:p w:rsidR="004A23FA" w:rsidRDefault="004A23FA">
      <w:pPr>
        <w:pStyle w:val="FootnoteText"/>
      </w:pPr>
      <w:r>
        <w:rPr>
          <w:rStyle w:val="FootnoteReference"/>
        </w:rPr>
        <w:footnoteRef/>
      </w:r>
      <w:r>
        <w:t xml:space="preserve"> Hadžović, supra n 7</w:t>
      </w:r>
      <w:r w:rsidR="005D59DA">
        <w:t>6</w:t>
      </w:r>
      <w:r>
        <w:t>.</w:t>
      </w:r>
    </w:p>
  </w:footnote>
  <w:footnote w:id="83">
    <w:p w:rsidR="004A23FA" w:rsidRDefault="004A23FA">
      <w:pPr>
        <w:pStyle w:val="FootnoteText"/>
      </w:pPr>
      <w:r>
        <w:rPr>
          <w:rStyle w:val="FootnoteReference"/>
        </w:rPr>
        <w:footnoteRef/>
      </w:r>
      <w:r>
        <w:t xml:space="preserve"> Emir Suljagić, ‘Pomirenje kao krvavi cinizam’, </w:t>
      </w:r>
      <w:r w:rsidRPr="006915C0">
        <w:rPr>
          <w:i/>
        </w:rPr>
        <w:t>Puls demokratije</w:t>
      </w:r>
      <w:r>
        <w:t xml:space="preserve">, 1 Sept. 2006, </w:t>
      </w:r>
      <w:hyperlink r:id="rId17" w:history="1">
        <w:r w:rsidRPr="007122A6">
          <w:rPr>
            <w:rStyle w:val="Hyperlink"/>
          </w:rPr>
          <w:t>http://pulsdemokratije.ba/index.php?a=detail&amp;1=bs&amp;id=189</w:t>
        </w:r>
      </w:hyperlink>
      <w:r>
        <w:t xml:space="preserve"> </w:t>
      </w:r>
    </w:p>
  </w:footnote>
  <w:footnote w:id="84">
    <w:p w:rsidR="004A23FA" w:rsidRDefault="004A23FA">
      <w:pPr>
        <w:pStyle w:val="FootnoteText"/>
      </w:pPr>
      <w:r>
        <w:rPr>
          <w:rStyle w:val="FootnoteReference"/>
        </w:rPr>
        <w:footnoteRef/>
      </w:r>
      <w:r>
        <w:t xml:space="preserve"> Author’s interviews with Gordon Bacon, the UNDP representative in the 2005-6 initiative, and Madeleine Rees, Head of the Bosnia Office of the UN High Commissioner for Human Rights at the time, both May 2010.</w:t>
      </w:r>
    </w:p>
  </w:footnote>
  <w:footnote w:id="85">
    <w:p w:rsidR="004A23FA" w:rsidRDefault="004A23FA">
      <w:pPr>
        <w:pStyle w:val="FootnoteText"/>
      </w:pPr>
      <w:r>
        <w:rPr>
          <w:rStyle w:val="FootnoteReference"/>
        </w:rPr>
        <w:footnoteRef/>
      </w:r>
      <w:r>
        <w:t xml:space="preserve"> Author’s telephone interview with Rees, May 2010.</w:t>
      </w:r>
    </w:p>
  </w:footnote>
  <w:footnote w:id="86">
    <w:p w:rsidR="004A23FA" w:rsidRDefault="004A23FA" w:rsidP="00D54B96">
      <w:pPr>
        <w:pStyle w:val="FootnoteText"/>
      </w:pPr>
      <w:r>
        <w:rPr>
          <w:rStyle w:val="FootnoteReference"/>
        </w:rPr>
        <w:footnoteRef/>
      </w:r>
      <w:r>
        <w:t xml:space="preserve"> Marita Eastmond, ‘Reconciliation, reconstruction, and everyday life in war-torn societies’, </w:t>
      </w:r>
      <w:r w:rsidRPr="00450990">
        <w:rPr>
          <w:i/>
        </w:rPr>
        <w:t>Focaal—Journal of Global and Historical Anthropology</w:t>
      </w:r>
      <w:r>
        <w:t>, 57 (2010): 8.</w:t>
      </w:r>
    </w:p>
  </w:footnote>
  <w:footnote w:id="87">
    <w:p w:rsidR="004A23FA" w:rsidRDefault="004A23FA">
      <w:pPr>
        <w:pStyle w:val="FootnoteText"/>
      </w:pPr>
      <w:r>
        <w:rPr>
          <w:rStyle w:val="FootnoteReference"/>
        </w:rPr>
        <w:footnoteRef/>
      </w:r>
      <w:r>
        <w:t xml:space="preserve"> Author’s interviews with members of women’s organisations, Sarajevo, June 2011.</w:t>
      </w:r>
    </w:p>
  </w:footnote>
  <w:footnote w:id="88">
    <w:p w:rsidR="004A23FA" w:rsidRDefault="004A23FA" w:rsidP="009C0851">
      <w:pPr>
        <w:pStyle w:val="FootnoteText"/>
      </w:pPr>
      <w:r>
        <w:rPr>
          <w:rStyle w:val="FootnoteReference"/>
        </w:rPr>
        <w:footnoteRef/>
      </w:r>
      <w:r>
        <w:t xml:space="preserve"> Adisa Tihić in transcipt of ‘Utvrdjivanje istine, supra n 4</w:t>
      </w:r>
      <w:r w:rsidR="005D59DA">
        <w:t>5</w:t>
      </w:r>
      <w:r>
        <w:t xml:space="preserve"> at 47-48.</w:t>
      </w:r>
    </w:p>
  </w:footnote>
  <w:footnote w:id="89">
    <w:p w:rsidR="004A23FA" w:rsidRDefault="004A23FA" w:rsidP="002D58A7">
      <w:pPr>
        <w:pStyle w:val="FootnoteText"/>
      </w:pPr>
      <w:r>
        <w:rPr>
          <w:rStyle w:val="FootnoteReference"/>
        </w:rPr>
        <w:footnoteRef/>
      </w:r>
      <w:r>
        <w:t xml:space="preserve"> Delpla, supra n 7</w:t>
      </w:r>
      <w:r w:rsidR="005D59DA">
        <w:t>1</w:t>
      </w:r>
      <w:r>
        <w:t xml:space="preserve">. See also, Johanna Mannegren Selimović, ‘Perpetrators and Victims: Local responses to the International Criminal Tribunal for the former Yugoslavia’, </w:t>
      </w:r>
      <w:r w:rsidRPr="00BA295E">
        <w:rPr>
          <w:i/>
        </w:rPr>
        <w:t>Focaal—Journal of Global and Historical Anthropology</w:t>
      </w:r>
      <w:r>
        <w:t xml:space="preserve">, 57 (2010): 50-61. On minority returnees, see Paula M. Pickering, </w:t>
      </w:r>
      <w:r w:rsidRPr="00517AC5">
        <w:rPr>
          <w:i/>
        </w:rPr>
        <w:t>Peacebuilding in the Balkans: The View from the Ground Floor</w:t>
      </w:r>
      <w:r>
        <w:t xml:space="preserve"> (Cornell University Press, 2007). These concerns were also noted by the US Embassy in Sarajevo, supra n 6</w:t>
      </w:r>
      <w:r w:rsidR="005D59DA">
        <w:t>1</w:t>
      </w:r>
      <w:r>
        <w:t xml:space="preserve"> at para 11.</w:t>
      </w:r>
    </w:p>
  </w:footnote>
  <w:footnote w:id="90">
    <w:p w:rsidR="004A23FA" w:rsidRDefault="004A23FA" w:rsidP="00F049F5">
      <w:pPr>
        <w:pStyle w:val="FootnoteText"/>
      </w:pPr>
      <w:r>
        <w:rPr>
          <w:rStyle w:val="FootnoteReference"/>
        </w:rPr>
        <w:footnoteRef/>
      </w:r>
      <w:r>
        <w:t xml:space="preserve"> Eastmond, supra n 8</w:t>
      </w:r>
      <w:r w:rsidR="005D59DA">
        <w:t>6</w:t>
      </w:r>
      <w:r>
        <w:t>: 8.</w:t>
      </w:r>
    </w:p>
  </w:footnote>
  <w:footnote w:id="91">
    <w:p w:rsidR="004A23FA" w:rsidRDefault="004A23FA">
      <w:pPr>
        <w:pStyle w:val="FootnoteText"/>
      </w:pPr>
      <w:r>
        <w:rPr>
          <w:rStyle w:val="FootnoteReference"/>
        </w:rPr>
        <w:footnoteRef/>
      </w:r>
      <w:r>
        <w:t xml:space="preserve"> This position also dominated at the UN conference on ‘Support to improving the women survivors of the wartime SGBV in BiH’’, Sarajevo, 28-29 May 2011, which brought together representatives of Bosnian women’s NGOs and UNFPA, UNDP, UNHCR and WILPF.</w:t>
      </w:r>
    </w:p>
  </w:footnote>
  <w:footnote w:id="92">
    <w:p w:rsidR="004A23FA" w:rsidRPr="004A4662" w:rsidRDefault="004A23FA">
      <w:pPr>
        <w:pStyle w:val="FootnoteText"/>
      </w:pPr>
      <w:r>
        <w:rPr>
          <w:rStyle w:val="FootnoteReference"/>
        </w:rPr>
        <w:footnoteRef/>
      </w:r>
      <w:r>
        <w:t xml:space="preserve"> See de Greiff, Report of the Special Rapporteur, and </w:t>
      </w:r>
      <w:r w:rsidRPr="006F7801">
        <w:rPr>
          <w:i/>
        </w:rPr>
        <w:t>Challenging the Conventional</w:t>
      </w:r>
      <w:r>
        <w:t>, supra n 1.</w:t>
      </w:r>
    </w:p>
  </w:footnote>
  <w:footnote w:id="93">
    <w:p w:rsidR="004A23FA" w:rsidRDefault="004A23FA">
      <w:pPr>
        <w:pStyle w:val="FootnoteText"/>
      </w:pPr>
      <w:r>
        <w:rPr>
          <w:rStyle w:val="FootnoteReference"/>
        </w:rPr>
        <w:footnoteRef/>
      </w:r>
      <w:r>
        <w:t xml:space="preserve"> On this problem in the post-Yugoslav space more generally, see Subotić, supra n </w:t>
      </w:r>
      <w:r w:rsidR="005D59DA">
        <w:t>69</w:t>
      </w:r>
      <w:r>
        <w:t>.</w:t>
      </w:r>
    </w:p>
  </w:footnote>
  <w:footnote w:id="94">
    <w:p w:rsidR="004A23FA" w:rsidRDefault="004A23FA" w:rsidP="00A23AD1">
      <w:pPr>
        <w:spacing w:after="0"/>
      </w:pPr>
      <w:r>
        <w:rPr>
          <w:rStyle w:val="FootnoteReference"/>
        </w:rPr>
        <w:footnoteRef/>
      </w:r>
      <w:r>
        <w:t xml:space="preserve"> </w:t>
      </w:r>
      <w:r>
        <w:rPr>
          <w:sz w:val="20"/>
          <w:szCs w:val="20"/>
        </w:rPr>
        <w:t>For the articulation of this argument, arising from analyses of the South African TRC, see</w:t>
      </w:r>
      <w:r w:rsidRPr="00DA6F85">
        <w:rPr>
          <w:sz w:val="20"/>
          <w:szCs w:val="20"/>
        </w:rPr>
        <w:t xml:space="preserve"> Richard A. Wilson, </w:t>
      </w:r>
      <w:r w:rsidRPr="00DA6F85">
        <w:rPr>
          <w:i/>
          <w:sz w:val="20"/>
          <w:szCs w:val="20"/>
        </w:rPr>
        <w:t xml:space="preserve">The Politics of Truth and Reconciliation in </w:t>
      </w:r>
      <w:smartTag w:uri="urn:schemas-microsoft-com:office:smarttags" w:element="place">
        <w:smartTag w:uri="urn:schemas-microsoft-com:office:smarttags" w:element="country-region">
          <w:r w:rsidRPr="00DA6F85">
            <w:rPr>
              <w:i/>
              <w:sz w:val="20"/>
              <w:szCs w:val="20"/>
            </w:rPr>
            <w:t>South Africa</w:t>
          </w:r>
        </w:smartTag>
      </w:smartTag>
      <w:r>
        <w:rPr>
          <w:i/>
          <w:sz w:val="20"/>
          <w:szCs w:val="20"/>
        </w:rPr>
        <w:t xml:space="preserve">: Legitimizing the </w:t>
      </w:r>
      <w:r w:rsidRPr="00DA6F85">
        <w:rPr>
          <w:i/>
          <w:sz w:val="20"/>
          <w:szCs w:val="20"/>
        </w:rPr>
        <w:t>Post-Apartheid State</w:t>
      </w:r>
      <w:r>
        <w:rPr>
          <w:sz w:val="20"/>
          <w:szCs w:val="20"/>
        </w:rPr>
        <w:t xml:space="preserve"> (Cambridge University Press: 2001)</w:t>
      </w:r>
      <w:r w:rsidRPr="00DA6F85">
        <w:rPr>
          <w:sz w:val="20"/>
          <w:szCs w:val="20"/>
        </w:rPr>
        <w:t xml:space="preserve">  and Claire Moon, </w:t>
      </w:r>
      <w:r w:rsidRPr="00DA6F85">
        <w:rPr>
          <w:i/>
          <w:sz w:val="20"/>
          <w:szCs w:val="20"/>
        </w:rPr>
        <w:t>Narrating Political Reconciliation</w:t>
      </w:r>
      <w:r>
        <w:rPr>
          <w:sz w:val="20"/>
          <w:szCs w:val="20"/>
        </w:rPr>
        <w:t xml:space="preserve"> (</w:t>
      </w:r>
      <w:r w:rsidRPr="00DA6F85">
        <w:rPr>
          <w:sz w:val="20"/>
          <w:szCs w:val="20"/>
        </w:rPr>
        <w:t>Lexington Books, 2008</w:t>
      </w:r>
      <w:r w:rsidRPr="009F7EBF">
        <w:rPr>
          <w:sz w:val="20"/>
          <w:szCs w:val="20"/>
        </w:rPr>
        <w:t xml:space="preserve">). A broader statement </w:t>
      </w:r>
      <w:r>
        <w:rPr>
          <w:sz w:val="20"/>
          <w:szCs w:val="20"/>
        </w:rPr>
        <w:t xml:space="preserve">of this point </w:t>
      </w:r>
      <w:r w:rsidRPr="009F7EBF">
        <w:rPr>
          <w:sz w:val="20"/>
          <w:szCs w:val="20"/>
        </w:rPr>
        <w:t xml:space="preserve">can be found in Leslie Vinjamuri and Jack Snyder, ‘Law and Politics in transitional Justice’, </w:t>
      </w:r>
      <w:r>
        <w:rPr>
          <w:i/>
          <w:sz w:val="20"/>
          <w:szCs w:val="20"/>
        </w:rPr>
        <w:t>Annual Review of P</w:t>
      </w:r>
      <w:r w:rsidRPr="009F7EBF">
        <w:rPr>
          <w:i/>
          <w:sz w:val="20"/>
          <w:szCs w:val="20"/>
        </w:rPr>
        <w:t>olitical Science</w:t>
      </w:r>
      <w:r w:rsidRPr="009F7EBF">
        <w:rPr>
          <w:sz w:val="20"/>
          <w:szCs w:val="20"/>
        </w:rPr>
        <w:t>, 2015, 18: 303-27.</w:t>
      </w:r>
    </w:p>
  </w:footnote>
  <w:footnote w:id="95">
    <w:p w:rsidR="004A23FA" w:rsidRDefault="004A23FA" w:rsidP="00E149A8">
      <w:pPr>
        <w:pStyle w:val="FootnoteText"/>
      </w:pPr>
      <w:r>
        <w:rPr>
          <w:rStyle w:val="FootnoteReference"/>
        </w:rPr>
        <w:footnoteRef/>
      </w:r>
      <w:r>
        <w:t xml:space="preserve"> These two cases show that </w:t>
      </w:r>
      <w:r w:rsidRPr="005B19C9">
        <w:t xml:space="preserve">the cohabitation of a tribunal and a truth commission is rarely harmonious, with the judicial mechanism tending to </w:t>
      </w:r>
      <w:r w:rsidR="00ED221A">
        <w:t>be</w:t>
      </w:r>
      <w:r w:rsidRPr="005B19C9">
        <w:t xml:space="preserve"> better endowed and </w:t>
      </w:r>
      <w:r w:rsidR="0025259E">
        <w:t xml:space="preserve">have </w:t>
      </w:r>
      <w:r w:rsidRPr="005B19C9">
        <w:t>more powers</w:t>
      </w:r>
      <w:r w:rsidR="00ED221A">
        <w:t xml:space="preserve"> than</w:t>
      </w:r>
      <w:r w:rsidRPr="005B19C9">
        <w:t xml:space="preserve"> the truth commission</w:t>
      </w:r>
      <w:r w:rsidR="0025259E">
        <w:t>,</w:t>
      </w:r>
      <w:r w:rsidRPr="005B19C9">
        <w:t xml:space="preserve"> </w:t>
      </w:r>
      <w:r w:rsidR="00ED221A">
        <w:t xml:space="preserve">which </w:t>
      </w:r>
      <w:r w:rsidRPr="005B19C9">
        <w:t>assum</w:t>
      </w:r>
      <w:r w:rsidR="00ED221A">
        <w:t>es</w:t>
      </w:r>
      <w:r w:rsidRPr="005B19C9">
        <w:t xml:space="preserve"> the role of a</w:t>
      </w:r>
      <w:r w:rsidR="00ED221A">
        <w:t xml:space="preserve"> ‘</w:t>
      </w:r>
      <w:r w:rsidRPr="005B19C9">
        <w:t>junior partner</w:t>
      </w:r>
      <w:r w:rsidR="00ED221A">
        <w:t>’</w:t>
      </w:r>
      <w:r>
        <w:t xml:space="preserve">. (See </w:t>
      </w:r>
      <w:r w:rsidR="0025259E">
        <w:t>e.g.</w:t>
      </w:r>
      <w:r>
        <w:t xml:space="preserve"> William Schabas, ‘The Sierra Leone Truth and Reconciliation Commission’,</w:t>
      </w:r>
      <w:r w:rsidRPr="009F2E39">
        <w:t xml:space="preserve"> </w:t>
      </w:r>
      <w:r>
        <w:t xml:space="preserve">Caitlin Reiger, ‘Hybrid Attempts at Accountability in Timor Leste’, and Patrick Burgess, ‘A New Approach to Restorative Justice – East Timor’s Community Reconciliation Processes’, in </w:t>
      </w:r>
      <w:r w:rsidRPr="004779DE">
        <w:rPr>
          <w:i/>
        </w:rPr>
        <w:t>Transitional Justice in the Twenty-First Century</w:t>
      </w:r>
      <w:r>
        <w:t xml:space="preserve">, supra n </w:t>
      </w:r>
      <w:r w:rsidR="005D59DA">
        <w:t>9</w:t>
      </w:r>
      <w:r>
        <w:t xml:space="preserve"> at 21-42, 143-170 and 176-205.)</w:t>
      </w:r>
    </w:p>
  </w:footnote>
  <w:footnote w:id="96">
    <w:p w:rsidR="004A23FA" w:rsidRDefault="004A23FA" w:rsidP="00E149A8">
      <w:pPr>
        <w:pStyle w:val="FootnoteText"/>
      </w:pPr>
      <w:r>
        <w:rPr>
          <w:rStyle w:val="FootnoteReference"/>
        </w:rPr>
        <w:footnoteRef/>
      </w:r>
      <w:r>
        <w:t xml:space="preserve"> Indeed, in Sierra Leone, had the truth commission not been agreed prior to the establishment of the court, it is possible that it may have not have been created at all. (I thank Leslie Vinjamuri for this point.)</w:t>
      </w:r>
    </w:p>
  </w:footnote>
  <w:footnote w:id="97">
    <w:p w:rsidR="00FE02D1" w:rsidRDefault="00FE02D1" w:rsidP="00FE02D1">
      <w:pPr>
        <w:pStyle w:val="FootnoteText"/>
      </w:pPr>
      <w:r>
        <w:rPr>
          <w:rStyle w:val="FootnoteReference"/>
        </w:rPr>
        <w:footnoteRef/>
      </w:r>
      <w:r>
        <w:t xml:space="preserve"> Louis Bickford, ‘Unofficial Truth Projects’, </w:t>
      </w:r>
      <w:r w:rsidRPr="00A13C54">
        <w:rPr>
          <w:i/>
        </w:rPr>
        <w:t>Human Rights Quarterly</w:t>
      </w:r>
      <w:r>
        <w:t>, 29 (2007): 994-1035. On Bosnia, see Hodžić and</w:t>
      </w:r>
      <w:r w:rsidRPr="00A20554">
        <w:t xml:space="preserve"> Bickford</w:t>
      </w:r>
      <w:r>
        <w:t xml:space="preserve">, supra n 73. </w:t>
      </w:r>
      <w:r w:rsidR="00DB0FB9">
        <w:t>A good e</w:t>
      </w:r>
      <w:r>
        <w:t xml:space="preserve">xample of </w:t>
      </w:r>
      <w:r w:rsidR="00AD1648">
        <w:t>productive civil society collaboration</w:t>
      </w:r>
      <w:r>
        <w:t xml:space="preserve"> </w:t>
      </w:r>
      <w:r w:rsidR="00AD1648">
        <w:t>on</w:t>
      </w:r>
      <w:r w:rsidR="00DB0FB9">
        <w:t xml:space="preserve"> a</w:t>
      </w:r>
      <w:r w:rsidR="00AD1648">
        <w:t xml:space="preserve"> ‘</w:t>
      </w:r>
      <w:r w:rsidR="00DB0FB9">
        <w:t>truth project</w:t>
      </w:r>
      <w:r w:rsidR="00AD1648">
        <w:t xml:space="preserve">’ in the post-Yugoslav region </w:t>
      </w:r>
      <w:r w:rsidR="00DB0FB9">
        <w:t>is</w:t>
      </w:r>
      <w:r w:rsidR="00AD1648">
        <w:t xml:space="preserve"> the</w:t>
      </w:r>
      <w:r w:rsidR="00DB0FB9">
        <w:t xml:space="preserve"> </w:t>
      </w:r>
      <w:r w:rsidR="00AD1648">
        <w:t xml:space="preserve">‘Kosovo Memory Book’, documenting the human losses in </w:t>
      </w:r>
      <w:r w:rsidR="00DB0FB9">
        <w:t>that conflict</w:t>
      </w:r>
      <w:r w:rsidR="00AD1648">
        <w:t>. (</w:t>
      </w:r>
      <w:r w:rsidR="00DB0FB9">
        <w:t>See</w:t>
      </w:r>
      <w:r w:rsidR="00AD1648">
        <w:t xml:space="preserve"> the press release</w:t>
      </w:r>
      <w:r w:rsidR="00DB0FB9">
        <w:t xml:space="preserve"> of the Humanitarian Law Centre, </w:t>
      </w:r>
      <w:r w:rsidR="00AD1648">
        <w:t xml:space="preserve">6 Feb. 2015 at  </w:t>
      </w:r>
      <w:hyperlink r:id="rId18" w:history="1">
        <w:r w:rsidR="00AD1648" w:rsidRPr="003D123A">
          <w:rPr>
            <w:rStyle w:val="Hyperlink"/>
          </w:rPr>
          <w:t>http://www.hlc-rdc.org/?p=28185&amp;lang=de</w:t>
        </w:r>
      </w:hyperlink>
      <w:r w:rsidR="00AD1648">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17205"/>
    <w:multiLevelType w:val="hybridMultilevel"/>
    <w:tmpl w:val="037C208A"/>
    <w:lvl w:ilvl="0" w:tplc="38B85C8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324A05B3"/>
    <w:multiLevelType w:val="hybridMultilevel"/>
    <w:tmpl w:val="ACF6C504"/>
    <w:lvl w:ilvl="0" w:tplc="41A4BC34">
      <w:start w:val="3"/>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BE458EF"/>
    <w:multiLevelType w:val="hybridMultilevel"/>
    <w:tmpl w:val="B5B0BBD4"/>
    <w:lvl w:ilvl="0" w:tplc="4BE64A72">
      <w:start w:val="1"/>
      <w:numFmt w:val="decimal"/>
      <w:lvlText w:val="%1)"/>
      <w:lvlJc w:val="left"/>
      <w:pPr>
        <w:ind w:left="1080" w:hanging="360"/>
      </w:pPr>
      <w:rPr>
        <w:rFonts w:ascii="Times New Roman" w:eastAsiaTheme="minorHAns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48843095"/>
    <w:multiLevelType w:val="hybridMultilevel"/>
    <w:tmpl w:val="692426A6"/>
    <w:lvl w:ilvl="0" w:tplc="F91093C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EF72F7"/>
    <w:multiLevelType w:val="hybridMultilevel"/>
    <w:tmpl w:val="79563AAA"/>
    <w:lvl w:ilvl="0" w:tplc="BC361704">
      <w:numFmt w:val="bullet"/>
      <w:lvlText w:val=""/>
      <w:lvlJc w:val="left"/>
      <w:pPr>
        <w:ind w:left="1080" w:hanging="360"/>
      </w:pPr>
      <w:rPr>
        <w:rFonts w:ascii="Wingdings" w:eastAsiaTheme="minorHAnsi" w:hAnsi="Wingding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5C894F32"/>
    <w:multiLevelType w:val="hybridMultilevel"/>
    <w:tmpl w:val="CF86FE9A"/>
    <w:lvl w:ilvl="0" w:tplc="515468B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55E"/>
    <w:rsid w:val="000018FC"/>
    <w:rsid w:val="00002D90"/>
    <w:rsid w:val="0000457C"/>
    <w:rsid w:val="00006BC2"/>
    <w:rsid w:val="00017C5B"/>
    <w:rsid w:val="00017DC9"/>
    <w:rsid w:val="000203C2"/>
    <w:rsid w:val="00021F49"/>
    <w:rsid w:val="0002377C"/>
    <w:rsid w:val="00023D7B"/>
    <w:rsid w:val="00023EFC"/>
    <w:rsid w:val="000315AA"/>
    <w:rsid w:val="00031DFF"/>
    <w:rsid w:val="00032E45"/>
    <w:rsid w:val="00035C25"/>
    <w:rsid w:val="00041189"/>
    <w:rsid w:val="00043D63"/>
    <w:rsid w:val="0004527C"/>
    <w:rsid w:val="000452D2"/>
    <w:rsid w:val="0004541F"/>
    <w:rsid w:val="00051776"/>
    <w:rsid w:val="00052168"/>
    <w:rsid w:val="00056779"/>
    <w:rsid w:val="000609B5"/>
    <w:rsid w:val="00060B64"/>
    <w:rsid w:val="00061668"/>
    <w:rsid w:val="00067DD9"/>
    <w:rsid w:val="00070E55"/>
    <w:rsid w:val="000728D9"/>
    <w:rsid w:val="00073E38"/>
    <w:rsid w:val="0007466F"/>
    <w:rsid w:val="00075BE7"/>
    <w:rsid w:val="0008129A"/>
    <w:rsid w:val="000848EE"/>
    <w:rsid w:val="0008502A"/>
    <w:rsid w:val="00085576"/>
    <w:rsid w:val="00087198"/>
    <w:rsid w:val="0009368B"/>
    <w:rsid w:val="000970FC"/>
    <w:rsid w:val="000A17D6"/>
    <w:rsid w:val="000A654A"/>
    <w:rsid w:val="000B3DA3"/>
    <w:rsid w:val="000B7159"/>
    <w:rsid w:val="000C17A4"/>
    <w:rsid w:val="000C323F"/>
    <w:rsid w:val="000C3C9C"/>
    <w:rsid w:val="000C7EA0"/>
    <w:rsid w:val="000D1E2E"/>
    <w:rsid w:val="000D47FC"/>
    <w:rsid w:val="000E09A6"/>
    <w:rsid w:val="000E29D3"/>
    <w:rsid w:val="000E5172"/>
    <w:rsid w:val="000E71B6"/>
    <w:rsid w:val="000F50EB"/>
    <w:rsid w:val="000F5684"/>
    <w:rsid w:val="000F5D54"/>
    <w:rsid w:val="000F65E3"/>
    <w:rsid w:val="00100AEC"/>
    <w:rsid w:val="00100C98"/>
    <w:rsid w:val="00104D6D"/>
    <w:rsid w:val="00104FD4"/>
    <w:rsid w:val="001051C3"/>
    <w:rsid w:val="00106BE2"/>
    <w:rsid w:val="00112B83"/>
    <w:rsid w:val="00113DB4"/>
    <w:rsid w:val="00115A8F"/>
    <w:rsid w:val="001170CB"/>
    <w:rsid w:val="00120A40"/>
    <w:rsid w:val="001224AB"/>
    <w:rsid w:val="001278A2"/>
    <w:rsid w:val="00127E03"/>
    <w:rsid w:val="00131981"/>
    <w:rsid w:val="0013516F"/>
    <w:rsid w:val="001360E4"/>
    <w:rsid w:val="00137935"/>
    <w:rsid w:val="00140520"/>
    <w:rsid w:val="0014131F"/>
    <w:rsid w:val="00141FBA"/>
    <w:rsid w:val="00145936"/>
    <w:rsid w:val="00152718"/>
    <w:rsid w:val="00153079"/>
    <w:rsid w:val="001557A6"/>
    <w:rsid w:val="001560CE"/>
    <w:rsid w:val="00157798"/>
    <w:rsid w:val="00161945"/>
    <w:rsid w:val="00162EE9"/>
    <w:rsid w:val="00163835"/>
    <w:rsid w:val="00165DAC"/>
    <w:rsid w:val="00167DB2"/>
    <w:rsid w:val="001706D6"/>
    <w:rsid w:val="00171968"/>
    <w:rsid w:val="00171E00"/>
    <w:rsid w:val="0017409D"/>
    <w:rsid w:val="00175833"/>
    <w:rsid w:val="00176C0A"/>
    <w:rsid w:val="00177FD6"/>
    <w:rsid w:val="00181564"/>
    <w:rsid w:val="001823C6"/>
    <w:rsid w:val="0018639F"/>
    <w:rsid w:val="0019077E"/>
    <w:rsid w:val="00190E3D"/>
    <w:rsid w:val="00191024"/>
    <w:rsid w:val="001934ED"/>
    <w:rsid w:val="0019358E"/>
    <w:rsid w:val="00194DD9"/>
    <w:rsid w:val="00196C52"/>
    <w:rsid w:val="001A220C"/>
    <w:rsid w:val="001A637D"/>
    <w:rsid w:val="001A6FCE"/>
    <w:rsid w:val="001B0E34"/>
    <w:rsid w:val="001B2A3D"/>
    <w:rsid w:val="001B46A9"/>
    <w:rsid w:val="001C0D13"/>
    <w:rsid w:val="001C3E62"/>
    <w:rsid w:val="001C6F24"/>
    <w:rsid w:val="001D085A"/>
    <w:rsid w:val="001D0CCB"/>
    <w:rsid w:val="001D0E5D"/>
    <w:rsid w:val="001D4352"/>
    <w:rsid w:val="001D456D"/>
    <w:rsid w:val="001D52DB"/>
    <w:rsid w:val="001D59C4"/>
    <w:rsid w:val="001E1899"/>
    <w:rsid w:val="001E4037"/>
    <w:rsid w:val="001F3D73"/>
    <w:rsid w:val="00200ECC"/>
    <w:rsid w:val="00202AEE"/>
    <w:rsid w:val="002042B3"/>
    <w:rsid w:val="00205A81"/>
    <w:rsid w:val="00206007"/>
    <w:rsid w:val="00213958"/>
    <w:rsid w:val="002139E6"/>
    <w:rsid w:val="00216ED6"/>
    <w:rsid w:val="00221322"/>
    <w:rsid w:val="00222B71"/>
    <w:rsid w:val="002239B0"/>
    <w:rsid w:val="00224EF0"/>
    <w:rsid w:val="00225C13"/>
    <w:rsid w:val="00226A24"/>
    <w:rsid w:val="002274E8"/>
    <w:rsid w:val="002279E8"/>
    <w:rsid w:val="00230D70"/>
    <w:rsid w:val="00231AE3"/>
    <w:rsid w:val="00233D18"/>
    <w:rsid w:val="00235B77"/>
    <w:rsid w:val="00236A08"/>
    <w:rsid w:val="00237907"/>
    <w:rsid w:val="00243562"/>
    <w:rsid w:val="00246BC3"/>
    <w:rsid w:val="00247280"/>
    <w:rsid w:val="00250206"/>
    <w:rsid w:val="0025175A"/>
    <w:rsid w:val="002520CA"/>
    <w:rsid w:val="0025259E"/>
    <w:rsid w:val="0025684E"/>
    <w:rsid w:val="00257791"/>
    <w:rsid w:val="00260454"/>
    <w:rsid w:val="00261898"/>
    <w:rsid w:val="00261A5A"/>
    <w:rsid w:val="00263546"/>
    <w:rsid w:val="002720DB"/>
    <w:rsid w:val="002722B3"/>
    <w:rsid w:val="002727F9"/>
    <w:rsid w:val="002750E2"/>
    <w:rsid w:val="00275EB9"/>
    <w:rsid w:val="002810DF"/>
    <w:rsid w:val="00281C5C"/>
    <w:rsid w:val="0028327E"/>
    <w:rsid w:val="00283373"/>
    <w:rsid w:val="002836FF"/>
    <w:rsid w:val="00285B48"/>
    <w:rsid w:val="0029330C"/>
    <w:rsid w:val="00295273"/>
    <w:rsid w:val="00297EBB"/>
    <w:rsid w:val="002A1E40"/>
    <w:rsid w:val="002A35F5"/>
    <w:rsid w:val="002A5ADA"/>
    <w:rsid w:val="002A62F0"/>
    <w:rsid w:val="002A6331"/>
    <w:rsid w:val="002A7584"/>
    <w:rsid w:val="002A799F"/>
    <w:rsid w:val="002A7CCC"/>
    <w:rsid w:val="002B4C1B"/>
    <w:rsid w:val="002B5CD2"/>
    <w:rsid w:val="002C28B5"/>
    <w:rsid w:val="002C70A1"/>
    <w:rsid w:val="002D2D84"/>
    <w:rsid w:val="002D3B7B"/>
    <w:rsid w:val="002D5821"/>
    <w:rsid w:val="002D58A7"/>
    <w:rsid w:val="002D7337"/>
    <w:rsid w:val="002E4018"/>
    <w:rsid w:val="002F13BC"/>
    <w:rsid w:val="002F3A33"/>
    <w:rsid w:val="002F4861"/>
    <w:rsid w:val="003025F8"/>
    <w:rsid w:val="00302945"/>
    <w:rsid w:val="003041AD"/>
    <w:rsid w:val="00304F75"/>
    <w:rsid w:val="00307AB5"/>
    <w:rsid w:val="00313748"/>
    <w:rsid w:val="00313967"/>
    <w:rsid w:val="003147ED"/>
    <w:rsid w:val="00314D54"/>
    <w:rsid w:val="00315118"/>
    <w:rsid w:val="003220BA"/>
    <w:rsid w:val="00327C24"/>
    <w:rsid w:val="00336F0B"/>
    <w:rsid w:val="00337CBF"/>
    <w:rsid w:val="00351E4D"/>
    <w:rsid w:val="0035674E"/>
    <w:rsid w:val="00357A4E"/>
    <w:rsid w:val="003613E2"/>
    <w:rsid w:val="00362DAD"/>
    <w:rsid w:val="00363658"/>
    <w:rsid w:val="00364842"/>
    <w:rsid w:val="003661C7"/>
    <w:rsid w:val="003673F6"/>
    <w:rsid w:val="0037089A"/>
    <w:rsid w:val="0037405E"/>
    <w:rsid w:val="00376D64"/>
    <w:rsid w:val="00380CF1"/>
    <w:rsid w:val="00381D25"/>
    <w:rsid w:val="00381D80"/>
    <w:rsid w:val="003854BA"/>
    <w:rsid w:val="0038570D"/>
    <w:rsid w:val="00387EF9"/>
    <w:rsid w:val="00393FE4"/>
    <w:rsid w:val="003A4B33"/>
    <w:rsid w:val="003B1621"/>
    <w:rsid w:val="003B1DFF"/>
    <w:rsid w:val="003B5E04"/>
    <w:rsid w:val="003C0B38"/>
    <w:rsid w:val="003C6684"/>
    <w:rsid w:val="003C689C"/>
    <w:rsid w:val="003D195E"/>
    <w:rsid w:val="003D24C0"/>
    <w:rsid w:val="003D506B"/>
    <w:rsid w:val="003E255F"/>
    <w:rsid w:val="003F0AB5"/>
    <w:rsid w:val="003F1E24"/>
    <w:rsid w:val="003F739E"/>
    <w:rsid w:val="003F7DB7"/>
    <w:rsid w:val="004009D0"/>
    <w:rsid w:val="0040331D"/>
    <w:rsid w:val="00403F78"/>
    <w:rsid w:val="00410CC4"/>
    <w:rsid w:val="004116AD"/>
    <w:rsid w:val="0041451F"/>
    <w:rsid w:val="00414BA4"/>
    <w:rsid w:val="004153FF"/>
    <w:rsid w:val="00415638"/>
    <w:rsid w:val="0042353C"/>
    <w:rsid w:val="004265A4"/>
    <w:rsid w:val="00433637"/>
    <w:rsid w:val="00433FA4"/>
    <w:rsid w:val="004366EB"/>
    <w:rsid w:val="00436DAA"/>
    <w:rsid w:val="004439DB"/>
    <w:rsid w:val="00444A81"/>
    <w:rsid w:val="00447D15"/>
    <w:rsid w:val="00450990"/>
    <w:rsid w:val="00451CF5"/>
    <w:rsid w:val="004533A9"/>
    <w:rsid w:val="00453D58"/>
    <w:rsid w:val="0045412D"/>
    <w:rsid w:val="0045557A"/>
    <w:rsid w:val="00455A36"/>
    <w:rsid w:val="00463109"/>
    <w:rsid w:val="00464D8D"/>
    <w:rsid w:val="00464E2C"/>
    <w:rsid w:val="0046541B"/>
    <w:rsid w:val="004663C0"/>
    <w:rsid w:val="0046697C"/>
    <w:rsid w:val="00470483"/>
    <w:rsid w:val="00471515"/>
    <w:rsid w:val="00472868"/>
    <w:rsid w:val="00474EB2"/>
    <w:rsid w:val="00475F23"/>
    <w:rsid w:val="004779DE"/>
    <w:rsid w:val="00481053"/>
    <w:rsid w:val="00483C47"/>
    <w:rsid w:val="00487F25"/>
    <w:rsid w:val="00490A90"/>
    <w:rsid w:val="0049297E"/>
    <w:rsid w:val="00493B4A"/>
    <w:rsid w:val="00494FCD"/>
    <w:rsid w:val="00497068"/>
    <w:rsid w:val="004A0250"/>
    <w:rsid w:val="004A23FA"/>
    <w:rsid w:val="004A4662"/>
    <w:rsid w:val="004A473F"/>
    <w:rsid w:val="004B192B"/>
    <w:rsid w:val="004B27B4"/>
    <w:rsid w:val="004B59E4"/>
    <w:rsid w:val="004B6AD8"/>
    <w:rsid w:val="004C0B69"/>
    <w:rsid w:val="004C0E51"/>
    <w:rsid w:val="004C3D8F"/>
    <w:rsid w:val="004C5370"/>
    <w:rsid w:val="004D7FBD"/>
    <w:rsid w:val="004E5296"/>
    <w:rsid w:val="004E79F9"/>
    <w:rsid w:val="004F011E"/>
    <w:rsid w:val="004F2123"/>
    <w:rsid w:val="004F6D15"/>
    <w:rsid w:val="004F7A8D"/>
    <w:rsid w:val="00502C2C"/>
    <w:rsid w:val="00504657"/>
    <w:rsid w:val="00504668"/>
    <w:rsid w:val="00504915"/>
    <w:rsid w:val="005078EB"/>
    <w:rsid w:val="00512D4D"/>
    <w:rsid w:val="005144A0"/>
    <w:rsid w:val="0051486F"/>
    <w:rsid w:val="00516D52"/>
    <w:rsid w:val="00517AC5"/>
    <w:rsid w:val="00520AE3"/>
    <w:rsid w:val="00521FAC"/>
    <w:rsid w:val="005226A5"/>
    <w:rsid w:val="00523626"/>
    <w:rsid w:val="00525435"/>
    <w:rsid w:val="00534BF5"/>
    <w:rsid w:val="00535FDA"/>
    <w:rsid w:val="005373C5"/>
    <w:rsid w:val="00540A57"/>
    <w:rsid w:val="00544CD1"/>
    <w:rsid w:val="00554D10"/>
    <w:rsid w:val="0056303B"/>
    <w:rsid w:val="0056403B"/>
    <w:rsid w:val="005643FA"/>
    <w:rsid w:val="00566050"/>
    <w:rsid w:val="00572C9F"/>
    <w:rsid w:val="0058304A"/>
    <w:rsid w:val="00583837"/>
    <w:rsid w:val="00586C5B"/>
    <w:rsid w:val="0059180A"/>
    <w:rsid w:val="00594BDD"/>
    <w:rsid w:val="005953B9"/>
    <w:rsid w:val="00597002"/>
    <w:rsid w:val="005A1BA4"/>
    <w:rsid w:val="005A2D56"/>
    <w:rsid w:val="005A46A1"/>
    <w:rsid w:val="005B0B94"/>
    <w:rsid w:val="005B19C9"/>
    <w:rsid w:val="005B2AB5"/>
    <w:rsid w:val="005C37FB"/>
    <w:rsid w:val="005D2014"/>
    <w:rsid w:val="005D3279"/>
    <w:rsid w:val="005D3DE6"/>
    <w:rsid w:val="005D5037"/>
    <w:rsid w:val="005D5471"/>
    <w:rsid w:val="005D59DA"/>
    <w:rsid w:val="005E03DF"/>
    <w:rsid w:val="005E57E1"/>
    <w:rsid w:val="005E6031"/>
    <w:rsid w:val="005E7BDF"/>
    <w:rsid w:val="005F08EE"/>
    <w:rsid w:val="005F13FC"/>
    <w:rsid w:val="005F394C"/>
    <w:rsid w:val="005F6973"/>
    <w:rsid w:val="005F7E8A"/>
    <w:rsid w:val="00600C4F"/>
    <w:rsid w:val="006026C4"/>
    <w:rsid w:val="0061196E"/>
    <w:rsid w:val="006131B7"/>
    <w:rsid w:val="00613A5A"/>
    <w:rsid w:val="0061539C"/>
    <w:rsid w:val="006178C9"/>
    <w:rsid w:val="00623D14"/>
    <w:rsid w:val="00624DCE"/>
    <w:rsid w:val="006257AD"/>
    <w:rsid w:val="00625EF0"/>
    <w:rsid w:val="00627B1F"/>
    <w:rsid w:val="006328B0"/>
    <w:rsid w:val="00632A0C"/>
    <w:rsid w:val="00632F88"/>
    <w:rsid w:val="00634AAF"/>
    <w:rsid w:val="00637972"/>
    <w:rsid w:val="00637B6B"/>
    <w:rsid w:val="0064398A"/>
    <w:rsid w:val="00644853"/>
    <w:rsid w:val="006509E0"/>
    <w:rsid w:val="00655A2E"/>
    <w:rsid w:val="006563F4"/>
    <w:rsid w:val="006613B6"/>
    <w:rsid w:val="00664CA2"/>
    <w:rsid w:val="00665EAB"/>
    <w:rsid w:val="006675A3"/>
    <w:rsid w:val="0066786D"/>
    <w:rsid w:val="00670667"/>
    <w:rsid w:val="00671719"/>
    <w:rsid w:val="00673821"/>
    <w:rsid w:val="00675C6B"/>
    <w:rsid w:val="0068002F"/>
    <w:rsid w:val="006821B1"/>
    <w:rsid w:val="0068248B"/>
    <w:rsid w:val="006834DD"/>
    <w:rsid w:val="0068571B"/>
    <w:rsid w:val="006858BB"/>
    <w:rsid w:val="0068651B"/>
    <w:rsid w:val="006915C0"/>
    <w:rsid w:val="00691CB4"/>
    <w:rsid w:val="00696131"/>
    <w:rsid w:val="00696281"/>
    <w:rsid w:val="0069633D"/>
    <w:rsid w:val="006A7E05"/>
    <w:rsid w:val="006B0CED"/>
    <w:rsid w:val="006B5F87"/>
    <w:rsid w:val="006B71D0"/>
    <w:rsid w:val="006C2CB1"/>
    <w:rsid w:val="006C67EF"/>
    <w:rsid w:val="006C72FC"/>
    <w:rsid w:val="006D0D3C"/>
    <w:rsid w:val="006D106C"/>
    <w:rsid w:val="006D1B80"/>
    <w:rsid w:val="006D5E78"/>
    <w:rsid w:val="006D722A"/>
    <w:rsid w:val="006E223C"/>
    <w:rsid w:val="006E36A2"/>
    <w:rsid w:val="006E3AE5"/>
    <w:rsid w:val="006E5F81"/>
    <w:rsid w:val="006F1099"/>
    <w:rsid w:val="006F484A"/>
    <w:rsid w:val="006F5709"/>
    <w:rsid w:val="006F60DB"/>
    <w:rsid w:val="006F67A7"/>
    <w:rsid w:val="00701D72"/>
    <w:rsid w:val="00712B89"/>
    <w:rsid w:val="00713454"/>
    <w:rsid w:val="0071427C"/>
    <w:rsid w:val="00715DAC"/>
    <w:rsid w:val="007164E3"/>
    <w:rsid w:val="00720026"/>
    <w:rsid w:val="00721DF9"/>
    <w:rsid w:val="00723CDC"/>
    <w:rsid w:val="007258B4"/>
    <w:rsid w:val="0072717A"/>
    <w:rsid w:val="00727FA4"/>
    <w:rsid w:val="00732BE3"/>
    <w:rsid w:val="00737F25"/>
    <w:rsid w:val="00742275"/>
    <w:rsid w:val="007435E1"/>
    <w:rsid w:val="00751401"/>
    <w:rsid w:val="00752288"/>
    <w:rsid w:val="007531D2"/>
    <w:rsid w:val="00753F75"/>
    <w:rsid w:val="00754F3C"/>
    <w:rsid w:val="00755E3A"/>
    <w:rsid w:val="00757931"/>
    <w:rsid w:val="0076028F"/>
    <w:rsid w:val="00765669"/>
    <w:rsid w:val="00765CD4"/>
    <w:rsid w:val="0077077C"/>
    <w:rsid w:val="0077093D"/>
    <w:rsid w:val="0078431D"/>
    <w:rsid w:val="007905F3"/>
    <w:rsid w:val="00792357"/>
    <w:rsid w:val="00792A3B"/>
    <w:rsid w:val="0079378E"/>
    <w:rsid w:val="007A021B"/>
    <w:rsid w:val="007A0277"/>
    <w:rsid w:val="007A1280"/>
    <w:rsid w:val="007A1C73"/>
    <w:rsid w:val="007A1F27"/>
    <w:rsid w:val="007A2030"/>
    <w:rsid w:val="007A2ABB"/>
    <w:rsid w:val="007A5898"/>
    <w:rsid w:val="007B22F9"/>
    <w:rsid w:val="007B6A74"/>
    <w:rsid w:val="007B7673"/>
    <w:rsid w:val="007C1E91"/>
    <w:rsid w:val="007C6582"/>
    <w:rsid w:val="007C77C8"/>
    <w:rsid w:val="007D03CD"/>
    <w:rsid w:val="007D15C3"/>
    <w:rsid w:val="007D2132"/>
    <w:rsid w:val="007D2421"/>
    <w:rsid w:val="007D2F52"/>
    <w:rsid w:val="007D34D3"/>
    <w:rsid w:val="007D462D"/>
    <w:rsid w:val="007D4A82"/>
    <w:rsid w:val="007D6ED0"/>
    <w:rsid w:val="007E1B64"/>
    <w:rsid w:val="007F0690"/>
    <w:rsid w:val="007F5025"/>
    <w:rsid w:val="00802F32"/>
    <w:rsid w:val="0080634C"/>
    <w:rsid w:val="008119DB"/>
    <w:rsid w:val="00812E01"/>
    <w:rsid w:val="00821EAB"/>
    <w:rsid w:val="008231D9"/>
    <w:rsid w:val="00826AA1"/>
    <w:rsid w:val="0082774B"/>
    <w:rsid w:val="00833E5F"/>
    <w:rsid w:val="00837A95"/>
    <w:rsid w:val="0084013C"/>
    <w:rsid w:val="008479BE"/>
    <w:rsid w:val="008500DE"/>
    <w:rsid w:val="00852930"/>
    <w:rsid w:val="00852CEB"/>
    <w:rsid w:val="00857497"/>
    <w:rsid w:val="0085749D"/>
    <w:rsid w:val="00862B18"/>
    <w:rsid w:val="00863852"/>
    <w:rsid w:val="008640E0"/>
    <w:rsid w:val="00864FD0"/>
    <w:rsid w:val="008666F9"/>
    <w:rsid w:val="00866C95"/>
    <w:rsid w:val="008679AF"/>
    <w:rsid w:val="00872C4B"/>
    <w:rsid w:val="008740FE"/>
    <w:rsid w:val="00874546"/>
    <w:rsid w:val="00875694"/>
    <w:rsid w:val="00875ADF"/>
    <w:rsid w:val="00875F6D"/>
    <w:rsid w:val="00877147"/>
    <w:rsid w:val="00882242"/>
    <w:rsid w:val="0088299C"/>
    <w:rsid w:val="0088414F"/>
    <w:rsid w:val="00885939"/>
    <w:rsid w:val="0088616A"/>
    <w:rsid w:val="0088644E"/>
    <w:rsid w:val="00895633"/>
    <w:rsid w:val="008A297B"/>
    <w:rsid w:val="008A5704"/>
    <w:rsid w:val="008B1A41"/>
    <w:rsid w:val="008B263C"/>
    <w:rsid w:val="008B3A2F"/>
    <w:rsid w:val="008B79F5"/>
    <w:rsid w:val="008C01CF"/>
    <w:rsid w:val="008C044C"/>
    <w:rsid w:val="008C0D0D"/>
    <w:rsid w:val="008C2AD0"/>
    <w:rsid w:val="008C443C"/>
    <w:rsid w:val="008C59E5"/>
    <w:rsid w:val="008C6339"/>
    <w:rsid w:val="008D0C0B"/>
    <w:rsid w:val="008D7316"/>
    <w:rsid w:val="008D7DA2"/>
    <w:rsid w:val="008E2A1A"/>
    <w:rsid w:val="008E2AB3"/>
    <w:rsid w:val="008E38EA"/>
    <w:rsid w:val="008E42D6"/>
    <w:rsid w:val="008E6F8A"/>
    <w:rsid w:val="008F088C"/>
    <w:rsid w:val="008F3814"/>
    <w:rsid w:val="008F50E3"/>
    <w:rsid w:val="00902E22"/>
    <w:rsid w:val="00903E61"/>
    <w:rsid w:val="00905197"/>
    <w:rsid w:val="0090552D"/>
    <w:rsid w:val="00907EFE"/>
    <w:rsid w:val="009100FB"/>
    <w:rsid w:val="00910956"/>
    <w:rsid w:val="00915632"/>
    <w:rsid w:val="00915C6C"/>
    <w:rsid w:val="009204AA"/>
    <w:rsid w:val="0092250B"/>
    <w:rsid w:val="009275E3"/>
    <w:rsid w:val="0092784F"/>
    <w:rsid w:val="009302EB"/>
    <w:rsid w:val="009306B4"/>
    <w:rsid w:val="0094267A"/>
    <w:rsid w:val="00944A92"/>
    <w:rsid w:val="00945EDE"/>
    <w:rsid w:val="00946898"/>
    <w:rsid w:val="009531FC"/>
    <w:rsid w:val="00953E83"/>
    <w:rsid w:val="00955181"/>
    <w:rsid w:val="00957157"/>
    <w:rsid w:val="0096328D"/>
    <w:rsid w:val="009654AC"/>
    <w:rsid w:val="00970D9E"/>
    <w:rsid w:val="009711FA"/>
    <w:rsid w:val="00971564"/>
    <w:rsid w:val="0097621D"/>
    <w:rsid w:val="00980656"/>
    <w:rsid w:val="00980C37"/>
    <w:rsid w:val="009831D1"/>
    <w:rsid w:val="00987A9F"/>
    <w:rsid w:val="009916D8"/>
    <w:rsid w:val="0099350F"/>
    <w:rsid w:val="009945F7"/>
    <w:rsid w:val="00997DDF"/>
    <w:rsid w:val="009A3052"/>
    <w:rsid w:val="009A3E7B"/>
    <w:rsid w:val="009A3E87"/>
    <w:rsid w:val="009A6776"/>
    <w:rsid w:val="009B0082"/>
    <w:rsid w:val="009B525C"/>
    <w:rsid w:val="009C0851"/>
    <w:rsid w:val="009C1041"/>
    <w:rsid w:val="009C1C42"/>
    <w:rsid w:val="009C1DF7"/>
    <w:rsid w:val="009C38D3"/>
    <w:rsid w:val="009C6E5B"/>
    <w:rsid w:val="009C7D1F"/>
    <w:rsid w:val="009C7ECC"/>
    <w:rsid w:val="009D2664"/>
    <w:rsid w:val="009D7E5B"/>
    <w:rsid w:val="009E32A7"/>
    <w:rsid w:val="009E5BAD"/>
    <w:rsid w:val="009E6C5C"/>
    <w:rsid w:val="009E6D57"/>
    <w:rsid w:val="009F2390"/>
    <w:rsid w:val="009F262F"/>
    <w:rsid w:val="009F2E39"/>
    <w:rsid w:val="009F4A08"/>
    <w:rsid w:val="009F53AB"/>
    <w:rsid w:val="009F7EBF"/>
    <w:rsid w:val="00A05097"/>
    <w:rsid w:val="00A07126"/>
    <w:rsid w:val="00A10E30"/>
    <w:rsid w:val="00A13C54"/>
    <w:rsid w:val="00A142C0"/>
    <w:rsid w:val="00A1671F"/>
    <w:rsid w:val="00A20554"/>
    <w:rsid w:val="00A2205B"/>
    <w:rsid w:val="00A23AD1"/>
    <w:rsid w:val="00A24FF2"/>
    <w:rsid w:val="00A258FE"/>
    <w:rsid w:val="00A3180F"/>
    <w:rsid w:val="00A31988"/>
    <w:rsid w:val="00A32A2E"/>
    <w:rsid w:val="00A3314C"/>
    <w:rsid w:val="00A33CA8"/>
    <w:rsid w:val="00A360DE"/>
    <w:rsid w:val="00A36D87"/>
    <w:rsid w:val="00A37C0C"/>
    <w:rsid w:val="00A40DE4"/>
    <w:rsid w:val="00A40EF4"/>
    <w:rsid w:val="00A4781E"/>
    <w:rsid w:val="00A50E43"/>
    <w:rsid w:val="00A5618B"/>
    <w:rsid w:val="00A57407"/>
    <w:rsid w:val="00A601C6"/>
    <w:rsid w:val="00A61DED"/>
    <w:rsid w:val="00A640E9"/>
    <w:rsid w:val="00A65DC1"/>
    <w:rsid w:val="00A678FB"/>
    <w:rsid w:val="00A72914"/>
    <w:rsid w:val="00A72A84"/>
    <w:rsid w:val="00A72F33"/>
    <w:rsid w:val="00A74101"/>
    <w:rsid w:val="00A743C4"/>
    <w:rsid w:val="00A7508C"/>
    <w:rsid w:val="00A764FA"/>
    <w:rsid w:val="00A77698"/>
    <w:rsid w:val="00A804C6"/>
    <w:rsid w:val="00A81BB3"/>
    <w:rsid w:val="00A82204"/>
    <w:rsid w:val="00A841D4"/>
    <w:rsid w:val="00A855BF"/>
    <w:rsid w:val="00A87A76"/>
    <w:rsid w:val="00A9002C"/>
    <w:rsid w:val="00A9134F"/>
    <w:rsid w:val="00A94019"/>
    <w:rsid w:val="00A949B0"/>
    <w:rsid w:val="00A94BDE"/>
    <w:rsid w:val="00A953D1"/>
    <w:rsid w:val="00A95B06"/>
    <w:rsid w:val="00A9780C"/>
    <w:rsid w:val="00AA09B6"/>
    <w:rsid w:val="00AA1897"/>
    <w:rsid w:val="00AA4F18"/>
    <w:rsid w:val="00AA51F6"/>
    <w:rsid w:val="00AB7268"/>
    <w:rsid w:val="00AC0C24"/>
    <w:rsid w:val="00AC158E"/>
    <w:rsid w:val="00AC1641"/>
    <w:rsid w:val="00AC19B2"/>
    <w:rsid w:val="00AC210B"/>
    <w:rsid w:val="00AD1648"/>
    <w:rsid w:val="00AD164C"/>
    <w:rsid w:val="00AD3A46"/>
    <w:rsid w:val="00AD50C1"/>
    <w:rsid w:val="00AE1404"/>
    <w:rsid w:val="00AE2E08"/>
    <w:rsid w:val="00AE4ADF"/>
    <w:rsid w:val="00AE4CF4"/>
    <w:rsid w:val="00AE66F8"/>
    <w:rsid w:val="00AF486E"/>
    <w:rsid w:val="00AF629C"/>
    <w:rsid w:val="00B003B3"/>
    <w:rsid w:val="00B0295B"/>
    <w:rsid w:val="00B0316D"/>
    <w:rsid w:val="00B04B1C"/>
    <w:rsid w:val="00B078AC"/>
    <w:rsid w:val="00B1151D"/>
    <w:rsid w:val="00B11577"/>
    <w:rsid w:val="00B13155"/>
    <w:rsid w:val="00B15269"/>
    <w:rsid w:val="00B176F5"/>
    <w:rsid w:val="00B226D5"/>
    <w:rsid w:val="00B2275B"/>
    <w:rsid w:val="00B23E15"/>
    <w:rsid w:val="00B26150"/>
    <w:rsid w:val="00B268D7"/>
    <w:rsid w:val="00B26FF1"/>
    <w:rsid w:val="00B30404"/>
    <w:rsid w:val="00B31569"/>
    <w:rsid w:val="00B31619"/>
    <w:rsid w:val="00B37E8D"/>
    <w:rsid w:val="00B43951"/>
    <w:rsid w:val="00B454A3"/>
    <w:rsid w:val="00B52DDC"/>
    <w:rsid w:val="00B53AC8"/>
    <w:rsid w:val="00B650B9"/>
    <w:rsid w:val="00B6792E"/>
    <w:rsid w:val="00B75614"/>
    <w:rsid w:val="00B77E37"/>
    <w:rsid w:val="00B804BD"/>
    <w:rsid w:val="00B804F5"/>
    <w:rsid w:val="00B83627"/>
    <w:rsid w:val="00B84F7E"/>
    <w:rsid w:val="00B852FE"/>
    <w:rsid w:val="00B8608C"/>
    <w:rsid w:val="00B922E4"/>
    <w:rsid w:val="00B9269C"/>
    <w:rsid w:val="00B92E5F"/>
    <w:rsid w:val="00B93059"/>
    <w:rsid w:val="00B9671E"/>
    <w:rsid w:val="00BA054A"/>
    <w:rsid w:val="00BA1565"/>
    <w:rsid w:val="00BA295E"/>
    <w:rsid w:val="00BA6941"/>
    <w:rsid w:val="00BB629C"/>
    <w:rsid w:val="00BC1496"/>
    <w:rsid w:val="00BC71BE"/>
    <w:rsid w:val="00BC7346"/>
    <w:rsid w:val="00BC7FF7"/>
    <w:rsid w:val="00BD0188"/>
    <w:rsid w:val="00BD27E6"/>
    <w:rsid w:val="00BD2F0A"/>
    <w:rsid w:val="00BD30B3"/>
    <w:rsid w:val="00BD4EB8"/>
    <w:rsid w:val="00BE25C1"/>
    <w:rsid w:val="00BE2B4D"/>
    <w:rsid w:val="00BE2BB6"/>
    <w:rsid w:val="00BE6152"/>
    <w:rsid w:val="00BF082F"/>
    <w:rsid w:val="00BF1C08"/>
    <w:rsid w:val="00BF1FC0"/>
    <w:rsid w:val="00BF2685"/>
    <w:rsid w:val="00BF48C5"/>
    <w:rsid w:val="00BF554F"/>
    <w:rsid w:val="00BF68AA"/>
    <w:rsid w:val="00C005C5"/>
    <w:rsid w:val="00C010F9"/>
    <w:rsid w:val="00C05885"/>
    <w:rsid w:val="00C143E2"/>
    <w:rsid w:val="00C17EB1"/>
    <w:rsid w:val="00C20199"/>
    <w:rsid w:val="00C24F66"/>
    <w:rsid w:val="00C27425"/>
    <w:rsid w:val="00C27481"/>
    <w:rsid w:val="00C3027C"/>
    <w:rsid w:val="00C30E64"/>
    <w:rsid w:val="00C3169F"/>
    <w:rsid w:val="00C3649A"/>
    <w:rsid w:val="00C36DDA"/>
    <w:rsid w:val="00C36E49"/>
    <w:rsid w:val="00C4369D"/>
    <w:rsid w:val="00C60834"/>
    <w:rsid w:val="00C60BCB"/>
    <w:rsid w:val="00C62971"/>
    <w:rsid w:val="00C63B3C"/>
    <w:rsid w:val="00C65FBC"/>
    <w:rsid w:val="00C668C7"/>
    <w:rsid w:val="00C66AA0"/>
    <w:rsid w:val="00C70F20"/>
    <w:rsid w:val="00C719AB"/>
    <w:rsid w:val="00C739C6"/>
    <w:rsid w:val="00C73B69"/>
    <w:rsid w:val="00C81343"/>
    <w:rsid w:val="00C8389D"/>
    <w:rsid w:val="00C85855"/>
    <w:rsid w:val="00C867A4"/>
    <w:rsid w:val="00C87835"/>
    <w:rsid w:val="00C92F2E"/>
    <w:rsid w:val="00C92F3D"/>
    <w:rsid w:val="00C93DE3"/>
    <w:rsid w:val="00C94411"/>
    <w:rsid w:val="00C9749B"/>
    <w:rsid w:val="00CA0F82"/>
    <w:rsid w:val="00CA1A06"/>
    <w:rsid w:val="00CA54CD"/>
    <w:rsid w:val="00CA7E4B"/>
    <w:rsid w:val="00CA7F59"/>
    <w:rsid w:val="00CB13C5"/>
    <w:rsid w:val="00CC1B0C"/>
    <w:rsid w:val="00CC2113"/>
    <w:rsid w:val="00CC355E"/>
    <w:rsid w:val="00CC36C5"/>
    <w:rsid w:val="00CC3942"/>
    <w:rsid w:val="00CC3F8E"/>
    <w:rsid w:val="00CC6CE4"/>
    <w:rsid w:val="00CC705F"/>
    <w:rsid w:val="00CC7F81"/>
    <w:rsid w:val="00CD13B4"/>
    <w:rsid w:val="00CD1A03"/>
    <w:rsid w:val="00CE48B2"/>
    <w:rsid w:val="00CE50FF"/>
    <w:rsid w:val="00CE6B12"/>
    <w:rsid w:val="00CF2A30"/>
    <w:rsid w:val="00CF4805"/>
    <w:rsid w:val="00CF4993"/>
    <w:rsid w:val="00CF5FE9"/>
    <w:rsid w:val="00D021A9"/>
    <w:rsid w:val="00D02893"/>
    <w:rsid w:val="00D058C5"/>
    <w:rsid w:val="00D1160A"/>
    <w:rsid w:val="00D119CB"/>
    <w:rsid w:val="00D201A9"/>
    <w:rsid w:val="00D25C86"/>
    <w:rsid w:val="00D3296E"/>
    <w:rsid w:val="00D339A5"/>
    <w:rsid w:val="00D342D1"/>
    <w:rsid w:val="00D34B52"/>
    <w:rsid w:val="00D37CD9"/>
    <w:rsid w:val="00D41B75"/>
    <w:rsid w:val="00D479C2"/>
    <w:rsid w:val="00D516B3"/>
    <w:rsid w:val="00D54B96"/>
    <w:rsid w:val="00D6077D"/>
    <w:rsid w:val="00D60F7A"/>
    <w:rsid w:val="00D614E9"/>
    <w:rsid w:val="00D71AEB"/>
    <w:rsid w:val="00D749BB"/>
    <w:rsid w:val="00D754A4"/>
    <w:rsid w:val="00D81A9E"/>
    <w:rsid w:val="00D83F31"/>
    <w:rsid w:val="00D84DCA"/>
    <w:rsid w:val="00D920E4"/>
    <w:rsid w:val="00D96B3A"/>
    <w:rsid w:val="00DA0220"/>
    <w:rsid w:val="00DA6B41"/>
    <w:rsid w:val="00DA6F85"/>
    <w:rsid w:val="00DA7803"/>
    <w:rsid w:val="00DB0FB9"/>
    <w:rsid w:val="00DB5C02"/>
    <w:rsid w:val="00DB6D4A"/>
    <w:rsid w:val="00DC0878"/>
    <w:rsid w:val="00DC2C1F"/>
    <w:rsid w:val="00DC3594"/>
    <w:rsid w:val="00DC50B9"/>
    <w:rsid w:val="00DD10B4"/>
    <w:rsid w:val="00DD3C9C"/>
    <w:rsid w:val="00DD3DEF"/>
    <w:rsid w:val="00DE0746"/>
    <w:rsid w:val="00DE0B5B"/>
    <w:rsid w:val="00DE3755"/>
    <w:rsid w:val="00DF0F0D"/>
    <w:rsid w:val="00DF2196"/>
    <w:rsid w:val="00DF248B"/>
    <w:rsid w:val="00DF3274"/>
    <w:rsid w:val="00DF381B"/>
    <w:rsid w:val="00DF38E3"/>
    <w:rsid w:val="00DF6762"/>
    <w:rsid w:val="00E007FB"/>
    <w:rsid w:val="00E015DA"/>
    <w:rsid w:val="00E04F2A"/>
    <w:rsid w:val="00E051E1"/>
    <w:rsid w:val="00E05C3B"/>
    <w:rsid w:val="00E0711D"/>
    <w:rsid w:val="00E13042"/>
    <w:rsid w:val="00E149A8"/>
    <w:rsid w:val="00E15408"/>
    <w:rsid w:val="00E2644A"/>
    <w:rsid w:val="00E3445D"/>
    <w:rsid w:val="00E34CA4"/>
    <w:rsid w:val="00E355F5"/>
    <w:rsid w:val="00E43164"/>
    <w:rsid w:val="00E45CDA"/>
    <w:rsid w:val="00E47C94"/>
    <w:rsid w:val="00E56509"/>
    <w:rsid w:val="00E57B4B"/>
    <w:rsid w:val="00E62020"/>
    <w:rsid w:val="00E6268C"/>
    <w:rsid w:val="00E66A81"/>
    <w:rsid w:val="00E66AE0"/>
    <w:rsid w:val="00E66FA6"/>
    <w:rsid w:val="00E710B6"/>
    <w:rsid w:val="00E71DA3"/>
    <w:rsid w:val="00E723C3"/>
    <w:rsid w:val="00E72478"/>
    <w:rsid w:val="00E72641"/>
    <w:rsid w:val="00E72DCF"/>
    <w:rsid w:val="00E74BFA"/>
    <w:rsid w:val="00E81605"/>
    <w:rsid w:val="00E83ACD"/>
    <w:rsid w:val="00E84051"/>
    <w:rsid w:val="00E85510"/>
    <w:rsid w:val="00E92EEA"/>
    <w:rsid w:val="00E95211"/>
    <w:rsid w:val="00E97B6B"/>
    <w:rsid w:val="00EA07FD"/>
    <w:rsid w:val="00EA2063"/>
    <w:rsid w:val="00EA2CAE"/>
    <w:rsid w:val="00EA33FB"/>
    <w:rsid w:val="00EA428C"/>
    <w:rsid w:val="00EA4C2C"/>
    <w:rsid w:val="00EA6D76"/>
    <w:rsid w:val="00EA7B3F"/>
    <w:rsid w:val="00EB0999"/>
    <w:rsid w:val="00EB1241"/>
    <w:rsid w:val="00EB71C9"/>
    <w:rsid w:val="00EC1E2F"/>
    <w:rsid w:val="00EC3F9F"/>
    <w:rsid w:val="00EC43A4"/>
    <w:rsid w:val="00EC4A6E"/>
    <w:rsid w:val="00EC626B"/>
    <w:rsid w:val="00EC6A54"/>
    <w:rsid w:val="00ED187C"/>
    <w:rsid w:val="00ED221A"/>
    <w:rsid w:val="00ED2DC2"/>
    <w:rsid w:val="00ED341E"/>
    <w:rsid w:val="00ED3473"/>
    <w:rsid w:val="00ED46E9"/>
    <w:rsid w:val="00EE08F0"/>
    <w:rsid w:val="00EE42A2"/>
    <w:rsid w:val="00EE6F06"/>
    <w:rsid w:val="00EF1AFA"/>
    <w:rsid w:val="00EF32AC"/>
    <w:rsid w:val="00EF47A0"/>
    <w:rsid w:val="00EF5C67"/>
    <w:rsid w:val="00EF6656"/>
    <w:rsid w:val="00F049F5"/>
    <w:rsid w:val="00F061EF"/>
    <w:rsid w:val="00F075B9"/>
    <w:rsid w:val="00F1048D"/>
    <w:rsid w:val="00F12561"/>
    <w:rsid w:val="00F1734D"/>
    <w:rsid w:val="00F24FF7"/>
    <w:rsid w:val="00F25D90"/>
    <w:rsid w:val="00F25E08"/>
    <w:rsid w:val="00F2785D"/>
    <w:rsid w:val="00F27E48"/>
    <w:rsid w:val="00F34758"/>
    <w:rsid w:val="00F362D5"/>
    <w:rsid w:val="00F36B57"/>
    <w:rsid w:val="00F5771E"/>
    <w:rsid w:val="00F61B1A"/>
    <w:rsid w:val="00F62455"/>
    <w:rsid w:val="00F67578"/>
    <w:rsid w:val="00F7256B"/>
    <w:rsid w:val="00F8185F"/>
    <w:rsid w:val="00F87DCD"/>
    <w:rsid w:val="00F87ED6"/>
    <w:rsid w:val="00F922F9"/>
    <w:rsid w:val="00F94532"/>
    <w:rsid w:val="00F9646C"/>
    <w:rsid w:val="00F97080"/>
    <w:rsid w:val="00F973A7"/>
    <w:rsid w:val="00F97AAC"/>
    <w:rsid w:val="00FA2868"/>
    <w:rsid w:val="00FA4FB6"/>
    <w:rsid w:val="00FA7FC2"/>
    <w:rsid w:val="00FB62AE"/>
    <w:rsid w:val="00FB6EDE"/>
    <w:rsid w:val="00FB7548"/>
    <w:rsid w:val="00FC243A"/>
    <w:rsid w:val="00FC2A30"/>
    <w:rsid w:val="00FC4F44"/>
    <w:rsid w:val="00FD3327"/>
    <w:rsid w:val="00FD4229"/>
    <w:rsid w:val="00FD5595"/>
    <w:rsid w:val="00FD5FAF"/>
    <w:rsid w:val="00FE02D1"/>
    <w:rsid w:val="00FE37BB"/>
    <w:rsid w:val="00FE4E8C"/>
    <w:rsid w:val="00FE4E9C"/>
    <w:rsid w:val="00FE65F1"/>
    <w:rsid w:val="00FE6A19"/>
    <w:rsid w:val="00FE7716"/>
    <w:rsid w:val="00FF1A13"/>
    <w:rsid w:val="00FF2CCD"/>
    <w:rsid w:val="00FF658C"/>
    <w:rsid w:val="00FF6D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4F75"/>
    <w:pPr>
      <w:spacing w:after="0"/>
    </w:pPr>
    <w:rPr>
      <w:sz w:val="20"/>
      <w:szCs w:val="20"/>
    </w:rPr>
  </w:style>
  <w:style w:type="character" w:customStyle="1" w:styleId="FootnoteTextChar">
    <w:name w:val="Footnote Text Char"/>
    <w:basedOn w:val="DefaultParagraphFont"/>
    <w:link w:val="FootnoteText"/>
    <w:uiPriority w:val="99"/>
    <w:semiHidden/>
    <w:rsid w:val="00304F75"/>
    <w:rPr>
      <w:sz w:val="20"/>
      <w:szCs w:val="20"/>
    </w:rPr>
  </w:style>
  <w:style w:type="character" w:styleId="FootnoteReference">
    <w:name w:val="footnote reference"/>
    <w:basedOn w:val="DefaultParagraphFont"/>
    <w:uiPriority w:val="99"/>
    <w:semiHidden/>
    <w:unhideWhenUsed/>
    <w:rsid w:val="00304F75"/>
    <w:rPr>
      <w:vertAlign w:val="superscript"/>
    </w:rPr>
  </w:style>
  <w:style w:type="character" w:styleId="Hyperlink">
    <w:name w:val="Hyperlink"/>
    <w:basedOn w:val="DefaultParagraphFont"/>
    <w:unhideWhenUsed/>
    <w:rsid w:val="0007466F"/>
    <w:rPr>
      <w:color w:val="0000FF"/>
      <w:u w:val="single"/>
    </w:rPr>
  </w:style>
  <w:style w:type="paragraph" w:styleId="Header">
    <w:name w:val="header"/>
    <w:basedOn w:val="Normal"/>
    <w:link w:val="HeaderChar"/>
    <w:uiPriority w:val="99"/>
    <w:unhideWhenUsed/>
    <w:rsid w:val="00E97B6B"/>
    <w:pPr>
      <w:tabs>
        <w:tab w:val="center" w:pos="4513"/>
        <w:tab w:val="right" w:pos="9026"/>
      </w:tabs>
      <w:spacing w:after="0"/>
    </w:pPr>
  </w:style>
  <w:style w:type="character" w:customStyle="1" w:styleId="HeaderChar">
    <w:name w:val="Header Char"/>
    <w:basedOn w:val="DefaultParagraphFont"/>
    <w:link w:val="Header"/>
    <w:uiPriority w:val="99"/>
    <w:rsid w:val="00E97B6B"/>
  </w:style>
  <w:style w:type="paragraph" w:styleId="Footer">
    <w:name w:val="footer"/>
    <w:basedOn w:val="Normal"/>
    <w:link w:val="FooterChar"/>
    <w:uiPriority w:val="99"/>
    <w:unhideWhenUsed/>
    <w:rsid w:val="00E97B6B"/>
    <w:pPr>
      <w:tabs>
        <w:tab w:val="center" w:pos="4513"/>
        <w:tab w:val="right" w:pos="9026"/>
      </w:tabs>
      <w:spacing w:after="0"/>
    </w:pPr>
  </w:style>
  <w:style w:type="character" w:customStyle="1" w:styleId="FooterChar">
    <w:name w:val="Footer Char"/>
    <w:basedOn w:val="DefaultParagraphFont"/>
    <w:link w:val="Footer"/>
    <w:uiPriority w:val="99"/>
    <w:rsid w:val="00E97B6B"/>
  </w:style>
  <w:style w:type="paragraph" w:styleId="ListParagraph">
    <w:name w:val="List Paragraph"/>
    <w:basedOn w:val="Normal"/>
    <w:uiPriority w:val="34"/>
    <w:qFormat/>
    <w:rsid w:val="000F65E3"/>
    <w:pPr>
      <w:ind w:left="720"/>
      <w:contextualSpacing/>
    </w:pPr>
  </w:style>
  <w:style w:type="paragraph" w:styleId="BalloonText">
    <w:name w:val="Balloon Text"/>
    <w:basedOn w:val="Normal"/>
    <w:link w:val="BalloonTextChar"/>
    <w:uiPriority w:val="99"/>
    <w:semiHidden/>
    <w:unhideWhenUsed/>
    <w:rsid w:val="008F50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E3"/>
    <w:rPr>
      <w:rFonts w:ascii="Tahoma" w:hAnsi="Tahoma" w:cs="Tahoma"/>
      <w:sz w:val="16"/>
      <w:szCs w:val="16"/>
    </w:rPr>
  </w:style>
  <w:style w:type="character" w:styleId="Emphasis">
    <w:name w:val="Emphasis"/>
    <w:uiPriority w:val="20"/>
    <w:qFormat/>
    <w:rsid w:val="009302EB"/>
    <w:rPr>
      <w:i/>
      <w:iCs/>
    </w:rPr>
  </w:style>
  <w:style w:type="paragraph" w:customStyle="1" w:styleId="main">
    <w:name w:val="main"/>
    <w:basedOn w:val="Normal"/>
    <w:rsid w:val="00FD5FAF"/>
    <w:pPr>
      <w:spacing w:after="120" w:line="225" w:lineRule="atLeast"/>
    </w:pPr>
    <w:rPr>
      <w:rFonts w:ascii="Verdana" w:hAnsi="Verdana" w:cs="Times New Roman"/>
      <w:sz w:val="17"/>
      <w:szCs w:val="1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1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4F75"/>
    <w:pPr>
      <w:spacing w:after="0"/>
    </w:pPr>
    <w:rPr>
      <w:sz w:val="20"/>
      <w:szCs w:val="20"/>
    </w:rPr>
  </w:style>
  <w:style w:type="character" w:customStyle="1" w:styleId="FootnoteTextChar">
    <w:name w:val="Footnote Text Char"/>
    <w:basedOn w:val="DefaultParagraphFont"/>
    <w:link w:val="FootnoteText"/>
    <w:uiPriority w:val="99"/>
    <w:semiHidden/>
    <w:rsid w:val="00304F75"/>
    <w:rPr>
      <w:sz w:val="20"/>
      <w:szCs w:val="20"/>
    </w:rPr>
  </w:style>
  <w:style w:type="character" w:styleId="FootnoteReference">
    <w:name w:val="footnote reference"/>
    <w:basedOn w:val="DefaultParagraphFont"/>
    <w:uiPriority w:val="99"/>
    <w:semiHidden/>
    <w:unhideWhenUsed/>
    <w:rsid w:val="00304F75"/>
    <w:rPr>
      <w:vertAlign w:val="superscript"/>
    </w:rPr>
  </w:style>
  <w:style w:type="character" w:styleId="Hyperlink">
    <w:name w:val="Hyperlink"/>
    <w:basedOn w:val="DefaultParagraphFont"/>
    <w:unhideWhenUsed/>
    <w:rsid w:val="0007466F"/>
    <w:rPr>
      <w:color w:val="0000FF"/>
      <w:u w:val="single"/>
    </w:rPr>
  </w:style>
  <w:style w:type="paragraph" w:styleId="Header">
    <w:name w:val="header"/>
    <w:basedOn w:val="Normal"/>
    <w:link w:val="HeaderChar"/>
    <w:uiPriority w:val="99"/>
    <w:unhideWhenUsed/>
    <w:rsid w:val="00E97B6B"/>
    <w:pPr>
      <w:tabs>
        <w:tab w:val="center" w:pos="4513"/>
        <w:tab w:val="right" w:pos="9026"/>
      </w:tabs>
      <w:spacing w:after="0"/>
    </w:pPr>
  </w:style>
  <w:style w:type="character" w:customStyle="1" w:styleId="HeaderChar">
    <w:name w:val="Header Char"/>
    <w:basedOn w:val="DefaultParagraphFont"/>
    <w:link w:val="Header"/>
    <w:uiPriority w:val="99"/>
    <w:rsid w:val="00E97B6B"/>
  </w:style>
  <w:style w:type="paragraph" w:styleId="Footer">
    <w:name w:val="footer"/>
    <w:basedOn w:val="Normal"/>
    <w:link w:val="FooterChar"/>
    <w:uiPriority w:val="99"/>
    <w:unhideWhenUsed/>
    <w:rsid w:val="00E97B6B"/>
    <w:pPr>
      <w:tabs>
        <w:tab w:val="center" w:pos="4513"/>
        <w:tab w:val="right" w:pos="9026"/>
      </w:tabs>
      <w:spacing w:after="0"/>
    </w:pPr>
  </w:style>
  <w:style w:type="character" w:customStyle="1" w:styleId="FooterChar">
    <w:name w:val="Footer Char"/>
    <w:basedOn w:val="DefaultParagraphFont"/>
    <w:link w:val="Footer"/>
    <w:uiPriority w:val="99"/>
    <w:rsid w:val="00E97B6B"/>
  </w:style>
  <w:style w:type="paragraph" w:styleId="ListParagraph">
    <w:name w:val="List Paragraph"/>
    <w:basedOn w:val="Normal"/>
    <w:uiPriority w:val="34"/>
    <w:qFormat/>
    <w:rsid w:val="000F65E3"/>
    <w:pPr>
      <w:ind w:left="720"/>
      <w:contextualSpacing/>
    </w:pPr>
  </w:style>
  <w:style w:type="paragraph" w:styleId="BalloonText">
    <w:name w:val="Balloon Text"/>
    <w:basedOn w:val="Normal"/>
    <w:link w:val="BalloonTextChar"/>
    <w:uiPriority w:val="99"/>
    <w:semiHidden/>
    <w:unhideWhenUsed/>
    <w:rsid w:val="008F50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0E3"/>
    <w:rPr>
      <w:rFonts w:ascii="Tahoma" w:hAnsi="Tahoma" w:cs="Tahoma"/>
      <w:sz w:val="16"/>
      <w:szCs w:val="16"/>
    </w:rPr>
  </w:style>
  <w:style w:type="character" w:styleId="Emphasis">
    <w:name w:val="Emphasis"/>
    <w:uiPriority w:val="20"/>
    <w:qFormat/>
    <w:rsid w:val="009302EB"/>
    <w:rPr>
      <w:i/>
      <w:iCs/>
    </w:rPr>
  </w:style>
  <w:style w:type="paragraph" w:customStyle="1" w:styleId="main">
    <w:name w:val="main"/>
    <w:basedOn w:val="Normal"/>
    <w:rsid w:val="00FD5FAF"/>
    <w:pPr>
      <w:spacing w:after="120" w:line="225" w:lineRule="atLeast"/>
    </w:pPr>
    <w:rPr>
      <w:rFonts w:ascii="Verdana" w:hAnsi="Verdana" w:cs="Times New Roman"/>
      <w:sz w:val="17"/>
      <w:szCs w:val="1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jtj.oxfordjournals.org/cgi/reprint/ijw005?ijkey=ypVrHVdqsygLW5N&amp;keytype=ref" TargetMode="External"/><Relationship Id="rId5" Type="http://schemas.openxmlformats.org/officeDocument/2006/relationships/settings" Target="settings.xml"/><Relationship Id="rId10" Type="http://schemas.openxmlformats.org/officeDocument/2006/relationships/hyperlink" Target="http://ijtj.oxfordjournals.org/cgi/content/full/ijw005?ijkey=ypVrHVdqsygLW5N&amp;keytype=ref" TargetMode="External"/><Relationship Id="rId4" Type="http://schemas.microsoft.com/office/2007/relationships/stylesWithEffects" Target="stylesWithEffects.xml"/><Relationship Id="rId9" Type="http://schemas.openxmlformats.org/officeDocument/2006/relationships/hyperlink" Target="http://ijtj.oxfordjournals.org/cgi/content/abstract/ijw005?ijkey=ypVrHVdqsygLW5N&amp;keytype=re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usip.org/peacewatch/1998/298/truth.html" TargetMode="External"/><Relationship Id="rId13" Type="http://schemas.openxmlformats.org/officeDocument/2006/relationships/hyperlink" Target="http://www.cin.ba" TargetMode="External"/><Relationship Id="rId18" Type="http://schemas.openxmlformats.org/officeDocument/2006/relationships/hyperlink" Target="http://www.hlc-rdc.org/?p=28185&amp;lang=de" TargetMode="External"/><Relationship Id="rId3" Type="http://schemas.openxmlformats.org/officeDocument/2006/relationships/hyperlink" Target="http:///www.angelfire.com.bc2/kip" TargetMode="External"/><Relationship Id="rId7" Type="http://schemas.openxmlformats.org/officeDocument/2006/relationships/hyperlink" Target="http://www.wikileaks.ch/cable/2006/04/06SARAJEVO738.html" TargetMode="External"/><Relationship Id="rId12" Type="http://schemas.openxmlformats.org/officeDocument/2006/relationships/hyperlink" Target="http://www.wikileaks.ch/cable/2006/04/06SARAJEVO738.html" TargetMode="External"/><Relationship Id="rId17" Type="http://schemas.openxmlformats.org/officeDocument/2006/relationships/hyperlink" Target="http://pulsdemokratije.ba/index.php?a=detail&amp;1=bs&amp;id=189" TargetMode="External"/><Relationship Id="rId2" Type="http://schemas.openxmlformats.org/officeDocument/2006/relationships/hyperlink" Target="http://www1.umn.edu/humanrts/icty/dayton/daytonsidelet.html" TargetMode="External"/><Relationship Id="rId16" Type="http://schemas.openxmlformats.org/officeDocument/2006/relationships/hyperlink" Target="http://www.bhdani.com/default.asp?kat=txt&amp;broj_id=456&amp;tekst_rb=8" TargetMode="External"/><Relationship Id="rId1" Type="http://schemas.openxmlformats.org/officeDocument/2006/relationships/hyperlink" Target="http:///www.idc.org" TargetMode="External"/><Relationship Id="rId6" Type="http://schemas.openxmlformats.org/officeDocument/2006/relationships/hyperlink" Target="http://www.angelfire.com/bc2/kip/bosanski/files/stockholmbh.htm" TargetMode="External"/><Relationship Id="rId11" Type="http://schemas.openxmlformats.org/officeDocument/2006/relationships/hyperlink" Target="http://www.cin.ba/stories/P3_Reconciliation/?cid=199,2,1" TargetMode="External"/><Relationship Id="rId5" Type="http://schemas.openxmlformats.org/officeDocument/2006/relationships/hyperlink" Target="http://www.usip.org/peacewatch/1997/897/bosnia.html" TargetMode="External"/><Relationship Id="rId15" Type="http://schemas.openxmlformats.org/officeDocument/2006/relationships/hyperlink" Target="http://www.h-alter.org/vijesti/vijesti/komisije-izmedju-istine-i-politike" TargetMode="External"/><Relationship Id="rId10" Type="http://schemas.openxmlformats.org/officeDocument/2006/relationships/hyperlink" Target="http://www.un.org/icty/pressreal/p591-e.htm" TargetMode="External"/><Relationship Id="rId4" Type="http://schemas.openxmlformats.org/officeDocument/2006/relationships/hyperlink" Target="http://www.usip.org/publications/balkans-initiative" TargetMode="External"/><Relationship Id="rId9" Type="http://schemas.openxmlformats.org/officeDocument/2006/relationships/hyperlink" Target="http://korekom.org/public/fck_files/file/Reg_%20forum%20%25za%20tran_pravdu-Sarajevo-5_i%206_maj%202006-transkripti.pdf" TargetMode="External"/><Relationship Id="rId14" Type="http://schemas.openxmlformats.org/officeDocument/2006/relationships/hyperlink" Target="http://www.undp.ba/index.aspx?PID=36&amp;RID=1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5144F-3A49-4386-A02C-280CA5808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7157</Words>
  <Characters>40798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Jasna</dc:creator>
  <cp:lastModifiedBy>Jasna</cp:lastModifiedBy>
  <cp:revision>2</cp:revision>
  <cp:lastPrinted>2016-01-11T20:02:00Z</cp:lastPrinted>
  <dcterms:created xsi:type="dcterms:W3CDTF">2016-03-18T17:02:00Z</dcterms:created>
  <dcterms:modified xsi:type="dcterms:W3CDTF">2016-03-18T17:02:00Z</dcterms:modified>
</cp:coreProperties>
</file>